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F27" w:rsidRPr="00DB4CC5" w:rsidRDefault="007F7F27" w:rsidP="00536A68">
      <w:pPr>
        <w:rPr>
          <w:lang w:val="en-NZ"/>
        </w:rPr>
      </w:pPr>
      <w:bookmarkStart w:id="0" w:name="_Toc429977995"/>
    </w:p>
    <w:p w:rsidR="007F7F27" w:rsidRPr="00DB4CC5" w:rsidRDefault="007F7F27" w:rsidP="00536A68">
      <w:pPr>
        <w:rPr>
          <w:lang w:val="en-NZ"/>
        </w:rPr>
      </w:pPr>
    </w:p>
    <w:p w:rsidR="007F7F27" w:rsidRPr="00DB4CC5" w:rsidRDefault="007F7F27" w:rsidP="00536A68">
      <w:pPr>
        <w:rPr>
          <w:lang w:val="en-NZ"/>
        </w:rPr>
      </w:pPr>
    </w:p>
    <w:p w:rsidR="007F7F27" w:rsidRPr="00DB4CC5" w:rsidRDefault="007F7F27" w:rsidP="00536A68">
      <w:pPr>
        <w:rPr>
          <w:lang w:val="en-NZ"/>
        </w:rPr>
      </w:pPr>
    </w:p>
    <w:p w:rsidR="007F7F27" w:rsidRPr="00DB4CC5" w:rsidRDefault="007F7F27" w:rsidP="00536A68">
      <w:pPr>
        <w:rPr>
          <w:lang w:val="en-NZ"/>
        </w:rPr>
      </w:pPr>
    </w:p>
    <w:p w:rsidR="007F7F27" w:rsidRPr="00DB4CC5" w:rsidRDefault="007F7F27" w:rsidP="00536A68">
      <w:pPr>
        <w:rPr>
          <w:lang w:val="en-NZ"/>
        </w:rPr>
      </w:pPr>
    </w:p>
    <w:p w:rsidR="007F7F27" w:rsidRPr="00DB4CC5" w:rsidRDefault="007F7F27" w:rsidP="00536A68">
      <w:pPr>
        <w:rPr>
          <w:lang w:val="en-NZ"/>
        </w:rPr>
      </w:pPr>
    </w:p>
    <w:p w:rsidR="007F7F27" w:rsidRPr="00DB4CC5" w:rsidRDefault="007F7F27" w:rsidP="00536A68">
      <w:pPr>
        <w:rPr>
          <w:lang w:val="en-NZ"/>
        </w:rPr>
      </w:pPr>
    </w:p>
    <w:p w:rsidR="007F7F27" w:rsidRPr="00DB4CC5" w:rsidRDefault="007F7F27" w:rsidP="00536A68">
      <w:pPr>
        <w:rPr>
          <w:lang w:val="en-NZ"/>
        </w:rPr>
      </w:pPr>
    </w:p>
    <w:p w:rsidR="007F7F27" w:rsidRPr="00DB4CC5" w:rsidRDefault="00CD6CCB" w:rsidP="00536A68">
      <w:pPr>
        <w:pBdr>
          <w:bottom w:val="single" w:sz="4" w:space="6" w:color="auto"/>
        </w:pBdr>
        <w:jc w:val="left"/>
        <w:rPr>
          <w:b/>
          <w:sz w:val="48"/>
          <w:lang w:val="en-NZ"/>
        </w:rPr>
      </w:pPr>
      <w:r>
        <w:rPr>
          <w:b/>
          <w:sz w:val="48"/>
          <w:lang w:val="en-NZ"/>
        </w:rPr>
        <w:t>Taxation (Bright-line Test for Residential Land) Bill</w:t>
      </w:r>
    </w:p>
    <w:p w:rsidR="007F7F27" w:rsidRPr="00DB4CC5" w:rsidRDefault="007F7F27" w:rsidP="00536A68">
      <w:pPr>
        <w:rPr>
          <w:lang w:val="en-NZ"/>
        </w:rPr>
      </w:pPr>
    </w:p>
    <w:p w:rsidR="007F7F27" w:rsidRPr="00DB4CC5" w:rsidRDefault="007F7F27" w:rsidP="00536A68">
      <w:pPr>
        <w:rPr>
          <w:lang w:val="en-NZ"/>
        </w:rPr>
      </w:pPr>
    </w:p>
    <w:p w:rsidR="007F7F27" w:rsidRPr="00DB4CC5" w:rsidRDefault="007F7F27" w:rsidP="00536A68">
      <w:pPr>
        <w:pStyle w:val="Heading6"/>
        <w:jc w:val="left"/>
        <w:rPr>
          <w:spacing w:val="4"/>
          <w:sz w:val="36"/>
          <w:lang w:val="en-NZ"/>
        </w:rPr>
      </w:pPr>
      <w:bookmarkStart w:id="1" w:name="_GoBack"/>
      <w:r w:rsidRPr="00DB4CC5">
        <w:rPr>
          <w:spacing w:val="4"/>
          <w:sz w:val="36"/>
          <w:lang w:val="en-NZ"/>
        </w:rPr>
        <w:t xml:space="preserve">Officials’ Report to the </w:t>
      </w:r>
      <w:r w:rsidR="00CD6CCB">
        <w:rPr>
          <w:spacing w:val="4"/>
          <w:sz w:val="36"/>
          <w:lang w:val="en-NZ"/>
        </w:rPr>
        <w:t>Finance and Expenditure Committee</w:t>
      </w:r>
      <w:r w:rsidRPr="00DB4CC5">
        <w:rPr>
          <w:spacing w:val="4"/>
          <w:sz w:val="36"/>
          <w:lang w:val="en-NZ"/>
        </w:rPr>
        <w:t xml:space="preserve"> on Submissions on the Bill</w:t>
      </w:r>
      <w:bookmarkEnd w:id="1"/>
    </w:p>
    <w:p w:rsidR="00C662E9" w:rsidRPr="00DB4CC5" w:rsidRDefault="00C662E9" w:rsidP="00536A68">
      <w:pPr>
        <w:rPr>
          <w:lang w:val="en-NZ"/>
        </w:rPr>
      </w:pPr>
    </w:p>
    <w:p w:rsidR="00C662E9" w:rsidRPr="00DB4CC5" w:rsidRDefault="00C662E9" w:rsidP="00536A68">
      <w:pPr>
        <w:rPr>
          <w:lang w:val="en-NZ"/>
        </w:rPr>
      </w:pPr>
    </w:p>
    <w:p w:rsidR="007F7F27" w:rsidRDefault="007F7F27" w:rsidP="00536A68">
      <w:pPr>
        <w:rPr>
          <w:lang w:val="en-NZ"/>
        </w:rPr>
      </w:pPr>
    </w:p>
    <w:p w:rsidR="00CD6CCB" w:rsidRDefault="00CD6CCB" w:rsidP="00536A68">
      <w:pPr>
        <w:rPr>
          <w:lang w:val="en-NZ"/>
        </w:rPr>
      </w:pPr>
    </w:p>
    <w:p w:rsidR="00CD6CCB" w:rsidRDefault="00CD6CCB" w:rsidP="00536A68">
      <w:pPr>
        <w:rPr>
          <w:lang w:val="en-NZ"/>
        </w:rPr>
      </w:pPr>
    </w:p>
    <w:p w:rsidR="00CD6CCB" w:rsidRDefault="00CD6CCB" w:rsidP="00536A68">
      <w:pPr>
        <w:rPr>
          <w:lang w:val="en-NZ"/>
        </w:rPr>
      </w:pPr>
    </w:p>
    <w:p w:rsidR="00CD6CCB" w:rsidRDefault="00CD6CCB" w:rsidP="00536A68">
      <w:pPr>
        <w:rPr>
          <w:lang w:val="en-NZ"/>
        </w:rPr>
      </w:pPr>
    </w:p>
    <w:p w:rsidR="00CD6CCB" w:rsidRDefault="00CD6CCB" w:rsidP="00536A68">
      <w:pPr>
        <w:rPr>
          <w:lang w:val="en-NZ"/>
        </w:rPr>
      </w:pPr>
    </w:p>
    <w:p w:rsidR="00CD6CCB" w:rsidRDefault="00CD6CCB" w:rsidP="00536A68">
      <w:pPr>
        <w:rPr>
          <w:lang w:val="en-NZ"/>
        </w:rPr>
      </w:pPr>
    </w:p>
    <w:p w:rsidR="00CD6CCB" w:rsidRPr="00DB4CC5" w:rsidRDefault="00CD6CCB" w:rsidP="00536A68">
      <w:pPr>
        <w:rPr>
          <w:lang w:val="en-NZ"/>
        </w:rPr>
      </w:pPr>
    </w:p>
    <w:p w:rsidR="007F7F27" w:rsidRPr="00DB4CC5" w:rsidRDefault="007F7F27" w:rsidP="00536A68">
      <w:pPr>
        <w:rPr>
          <w:lang w:val="en-NZ"/>
        </w:rPr>
      </w:pPr>
    </w:p>
    <w:p w:rsidR="007F7F27" w:rsidRPr="00DB4CC5" w:rsidRDefault="007F7F27" w:rsidP="00536A68">
      <w:pPr>
        <w:rPr>
          <w:lang w:val="en-NZ"/>
        </w:rPr>
      </w:pPr>
    </w:p>
    <w:p w:rsidR="007F7F27" w:rsidRPr="00DB4CC5" w:rsidRDefault="007F7F27" w:rsidP="00536A68">
      <w:pPr>
        <w:rPr>
          <w:lang w:val="en-NZ"/>
        </w:rPr>
      </w:pPr>
    </w:p>
    <w:p w:rsidR="007F7F27" w:rsidRPr="00DB4CC5" w:rsidRDefault="007F7F27" w:rsidP="00536A68">
      <w:pPr>
        <w:rPr>
          <w:lang w:val="en-NZ"/>
        </w:rPr>
      </w:pPr>
    </w:p>
    <w:p w:rsidR="00324CD9" w:rsidRPr="00DB4CC5" w:rsidRDefault="00324CD9" w:rsidP="00536A68">
      <w:pPr>
        <w:rPr>
          <w:lang w:val="en-NZ"/>
        </w:rPr>
      </w:pPr>
    </w:p>
    <w:p w:rsidR="00324CD9" w:rsidRPr="00DB4CC5" w:rsidRDefault="00324CD9" w:rsidP="00536A68">
      <w:pPr>
        <w:rPr>
          <w:lang w:val="en-NZ"/>
        </w:rPr>
      </w:pPr>
    </w:p>
    <w:p w:rsidR="00324CD9" w:rsidRPr="00DB4CC5" w:rsidRDefault="00324CD9" w:rsidP="00536A68">
      <w:pPr>
        <w:rPr>
          <w:lang w:val="en-NZ"/>
        </w:rPr>
      </w:pPr>
    </w:p>
    <w:p w:rsidR="00324CD9" w:rsidRPr="00DB4CC5" w:rsidRDefault="00324CD9" w:rsidP="00536A68">
      <w:pPr>
        <w:rPr>
          <w:lang w:val="en-NZ"/>
        </w:rPr>
      </w:pPr>
    </w:p>
    <w:p w:rsidR="007F7F27" w:rsidRPr="00DB4CC5" w:rsidRDefault="007F7F27" w:rsidP="00536A68">
      <w:pPr>
        <w:rPr>
          <w:lang w:val="en-NZ"/>
        </w:rPr>
      </w:pPr>
    </w:p>
    <w:p w:rsidR="007F7F27" w:rsidRPr="00DB4CC5" w:rsidRDefault="007F7F27" w:rsidP="00536A68">
      <w:pPr>
        <w:rPr>
          <w:lang w:val="en-NZ"/>
        </w:rPr>
      </w:pPr>
    </w:p>
    <w:p w:rsidR="007F7F27" w:rsidRPr="00DB4CC5" w:rsidRDefault="008A5EDE" w:rsidP="00536A68">
      <w:pPr>
        <w:pStyle w:val="Heading2"/>
        <w:rPr>
          <w:sz w:val="32"/>
          <w:lang w:val="en-NZ"/>
        </w:rPr>
      </w:pPr>
      <w:r>
        <w:rPr>
          <w:sz w:val="32"/>
          <w:lang w:val="en-NZ"/>
        </w:rPr>
        <w:t>October</w:t>
      </w:r>
      <w:r w:rsidR="00CD6CCB">
        <w:rPr>
          <w:sz w:val="32"/>
          <w:lang w:val="en-NZ"/>
        </w:rPr>
        <w:t xml:space="preserve"> 2015</w:t>
      </w:r>
    </w:p>
    <w:p w:rsidR="007F7F27" w:rsidRPr="00DB4CC5" w:rsidRDefault="007F7F27" w:rsidP="00536A68">
      <w:pPr>
        <w:rPr>
          <w:lang w:val="en-NZ"/>
        </w:rPr>
      </w:pPr>
    </w:p>
    <w:p w:rsidR="007F7F27" w:rsidRPr="00DB4CC5" w:rsidRDefault="007F7F27" w:rsidP="00536A68">
      <w:pPr>
        <w:rPr>
          <w:lang w:val="en-NZ"/>
        </w:rPr>
      </w:pPr>
    </w:p>
    <w:p w:rsidR="007F7F27" w:rsidRPr="00DB4CC5" w:rsidRDefault="007F7F27" w:rsidP="00536A68">
      <w:pPr>
        <w:rPr>
          <w:lang w:val="en-NZ"/>
        </w:rPr>
      </w:pPr>
    </w:p>
    <w:p w:rsidR="007F7F27" w:rsidRPr="00DB4CC5" w:rsidRDefault="007F7F27" w:rsidP="00536A68">
      <w:pPr>
        <w:rPr>
          <w:lang w:val="en-NZ"/>
        </w:rPr>
      </w:pPr>
    </w:p>
    <w:p w:rsidR="00412BF4" w:rsidRDefault="007F7F27" w:rsidP="00536A68">
      <w:pPr>
        <w:rPr>
          <w:i/>
          <w:spacing w:val="4"/>
          <w:lang w:val="en-NZ"/>
        </w:rPr>
      </w:pPr>
      <w:r w:rsidRPr="00DB4CC5">
        <w:rPr>
          <w:i/>
          <w:spacing w:val="4"/>
          <w:lang w:val="en-NZ"/>
        </w:rPr>
        <w:t xml:space="preserve">Prepared by Policy </w:t>
      </w:r>
      <w:r w:rsidR="00A41EB5">
        <w:rPr>
          <w:i/>
          <w:spacing w:val="4"/>
          <w:lang w:val="en-NZ"/>
        </w:rPr>
        <w:t>and Strategy</w:t>
      </w:r>
      <w:r w:rsidR="004478CF">
        <w:rPr>
          <w:i/>
          <w:spacing w:val="4"/>
          <w:lang w:val="en-NZ"/>
        </w:rPr>
        <w:t>,</w:t>
      </w:r>
      <w:r w:rsidR="00A41EB5">
        <w:rPr>
          <w:i/>
          <w:spacing w:val="4"/>
          <w:lang w:val="en-NZ"/>
        </w:rPr>
        <w:t xml:space="preserve"> </w:t>
      </w:r>
      <w:r w:rsidRPr="00DB4CC5">
        <w:rPr>
          <w:i/>
          <w:spacing w:val="4"/>
          <w:lang w:val="en-NZ"/>
        </w:rPr>
        <w:t>Inland Revenue</w:t>
      </w:r>
      <w:r w:rsidR="009D1CF5" w:rsidRPr="00DB4CC5">
        <w:rPr>
          <w:i/>
          <w:spacing w:val="4"/>
          <w:lang w:val="en-NZ"/>
        </w:rPr>
        <w:t xml:space="preserve"> </w:t>
      </w:r>
    </w:p>
    <w:p w:rsidR="00412BF4" w:rsidRDefault="00412BF4">
      <w:pPr>
        <w:jc w:val="left"/>
        <w:rPr>
          <w:i/>
          <w:spacing w:val="4"/>
          <w:lang w:val="en-NZ"/>
        </w:rPr>
      </w:pPr>
      <w:r>
        <w:rPr>
          <w:i/>
          <w:spacing w:val="4"/>
          <w:lang w:val="en-NZ"/>
        </w:rPr>
        <w:br w:type="page"/>
      </w:r>
    </w:p>
    <w:p w:rsidR="007F7F27" w:rsidRPr="00DB4CC5" w:rsidRDefault="007F7F27" w:rsidP="00536A68">
      <w:pPr>
        <w:rPr>
          <w:i/>
          <w:spacing w:val="8"/>
          <w:sz w:val="22"/>
          <w:lang w:val="en-NZ"/>
        </w:rPr>
      </w:pPr>
    </w:p>
    <w:p w:rsidR="007F7F27" w:rsidRPr="00DB4CC5" w:rsidRDefault="007F7F27" w:rsidP="00536A68">
      <w:pPr>
        <w:pStyle w:val="Heading2"/>
        <w:rPr>
          <w:b w:val="0"/>
          <w:lang w:val="en-NZ"/>
        </w:rPr>
        <w:sectPr w:rsidR="007F7F27" w:rsidRPr="00DB4CC5" w:rsidSect="00AD47EB">
          <w:footerReference w:type="even" r:id="rId8"/>
          <w:footerReference w:type="default" r:id="rId9"/>
          <w:type w:val="oddPage"/>
          <w:pgSz w:w="11906" w:h="16838" w:code="9"/>
          <w:pgMar w:top="1304" w:right="1797" w:bottom="1134" w:left="1797" w:header="720" w:footer="567" w:gutter="0"/>
          <w:cols w:space="720"/>
          <w:titlePg/>
        </w:sectPr>
      </w:pPr>
    </w:p>
    <w:p w:rsidR="007F7F27" w:rsidRPr="00DB4CC5" w:rsidRDefault="007F7F27" w:rsidP="00536A68">
      <w:pPr>
        <w:pStyle w:val="BodyText"/>
        <w:jc w:val="center"/>
        <w:rPr>
          <w:b/>
          <w:sz w:val="28"/>
          <w:lang w:val="en-NZ"/>
        </w:rPr>
      </w:pPr>
      <w:r w:rsidRPr="00DB4CC5">
        <w:rPr>
          <w:b/>
          <w:sz w:val="28"/>
          <w:lang w:val="en-NZ"/>
        </w:rPr>
        <w:lastRenderedPageBreak/>
        <w:t>CONTENTS</w:t>
      </w:r>
    </w:p>
    <w:bookmarkEnd w:id="0"/>
    <w:p w:rsidR="00073D78" w:rsidRDefault="007F7F27">
      <w:pPr>
        <w:pStyle w:val="TOC1"/>
        <w:rPr>
          <w:rFonts w:asciiTheme="minorHAnsi" w:eastAsiaTheme="minorEastAsia" w:hAnsiTheme="minorHAnsi" w:cstheme="minorBidi"/>
          <w:b w:val="0"/>
          <w:sz w:val="22"/>
          <w:szCs w:val="22"/>
          <w:lang w:val="en-NZ" w:eastAsia="en-NZ"/>
        </w:rPr>
      </w:pPr>
      <w:r w:rsidRPr="00DB4CC5">
        <w:rPr>
          <w:noProof w:val="0"/>
          <w:lang w:val="en-NZ"/>
        </w:rPr>
        <w:fldChar w:fldCharType="begin"/>
      </w:r>
      <w:r w:rsidRPr="00DB4CC5">
        <w:rPr>
          <w:noProof w:val="0"/>
          <w:lang w:val="en-NZ"/>
        </w:rPr>
        <w:instrText xml:space="preserve"> TOC \t "Heading 1,2,Heading 5,3,Heading 7,4,PartHeading,1" </w:instrText>
      </w:r>
      <w:r w:rsidRPr="00DB4CC5">
        <w:rPr>
          <w:noProof w:val="0"/>
          <w:lang w:val="en-NZ"/>
        </w:rPr>
        <w:fldChar w:fldCharType="separate"/>
      </w:r>
      <w:r w:rsidR="00073D78" w:rsidRPr="00685D2E">
        <w:t>Bright-line test</w:t>
      </w:r>
      <w:r w:rsidR="00073D78">
        <w:tab/>
      </w:r>
      <w:r w:rsidR="00073D78">
        <w:fldChar w:fldCharType="begin"/>
      </w:r>
      <w:r w:rsidR="00073D78">
        <w:instrText xml:space="preserve"> PAGEREF _Toc432411890 \h </w:instrText>
      </w:r>
      <w:r w:rsidR="00073D78">
        <w:fldChar w:fldCharType="separate"/>
      </w:r>
      <w:r w:rsidR="00073D78">
        <w:t>1</w:t>
      </w:r>
      <w:r w:rsidR="00073D78">
        <w:fldChar w:fldCharType="end"/>
      </w:r>
    </w:p>
    <w:p w:rsidR="00073D78" w:rsidRDefault="00073D78">
      <w:pPr>
        <w:pStyle w:val="TOC2"/>
        <w:rPr>
          <w:rFonts w:asciiTheme="minorHAnsi" w:eastAsiaTheme="minorEastAsia" w:hAnsiTheme="minorHAnsi" w:cstheme="minorBidi"/>
          <w:szCs w:val="22"/>
          <w:lang w:val="en-NZ" w:eastAsia="en-NZ"/>
        </w:rPr>
      </w:pPr>
      <w:r>
        <w:t>Overview</w:t>
      </w:r>
      <w:r>
        <w:tab/>
      </w:r>
      <w:r>
        <w:fldChar w:fldCharType="begin"/>
      </w:r>
      <w:r>
        <w:instrText xml:space="preserve"> PAGEREF _Toc432411891 \h </w:instrText>
      </w:r>
      <w:r>
        <w:fldChar w:fldCharType="separate"/>
      </w:r>
      <w:r>
        <w:t>3</w:t>
      </w:r>
      <w:r>
        <w:fldChar w:fldCharType="end"/>
      </w:r>
    </w:p>
    <w:p w:rsidR="00073D78" w:rsidRDefault="00073D78">
      <w:pPr>
        <w:pStyle w:val="TOC2"/>
        <w:rPr>
          <w:rFonts w:asciiTheme="minorHAnsi" w:eastAsiaTheme="minorEastAsia" w:hAnsiTheme="minorHAnsi" w:cstheme="minorBidi"/>
          <w:szCs w:val="22"/>
          <w:lang w:val="en-NZ" w:eastAsia="en-NZ"/>
        </w:rPr>
      </w:pPr>
      <w:r>
        <w:t>Support/opposition to reform</w:t>
      </w:r>
      <w:r>
        <w:tab/>
      </w:r>
      <w:r>
        <w:fldChar w:fldCharType="begin"/>
      </w:r>
      <w:r>
        <w:instrText xml:space="preserve"> PAGEREF _Toc432411892 \h </w:instrText>
      </w:r>
      <w:r>
        <w:fldChar w:fldCharType="separate"/>
      </w:r>
      <w:r>
        <w:t>4</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Support for bright-line test</w:t>
      </w:r>
      <w:r>
        <w:tab/>
      </w:r>
      <w:r>
        <w:fldChar w:fldCharType="begin"/>
      </w:r>
      <w:r>
        <w:instrText xml:space="preserve"> PAGEREF _Toc432411893 \h </w:instrText>
      </w:r>
      <w:r>
        <w:fldChar w:fldCharType="separate"/>
      </w:r>
      <w:r>
        <w:t>4</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Opposition to bright-line test</w:t>
      </w:r>
      <w:r>
        <w:tab/>
      </w:r>
      <w:r>
        <w:fldChar w:fldCharType="begin"/>
      </w:r>
      <w:r>
        <w:instrText xml:space="preserve"> PAGEREF _Toc432411894 \h </w:instrText>
      </w:r>
      <w:r>
        <w:fldChar w:fldCharType="separate"/>
      </w:r>
      <w:r>
        <w:t>4</w:t>
      </w:r>
      <w:r>
        <w:fldChar w:fldCharType="end"/>
      </w:r>
    </w:p>
    <w:p w:rsidR="00073D78" w:rsidRDefault="00073D78">
      <w:pPr>
        <w:pStyle w:val="TOC2"/>
        <w:rPr>
          <w:rFonts w:asciiTheme="minorHAnsi" w:eastAsiaTheme="minorEastAsia" w:hAnsiTheme="minorHAnsi" w:cstheme="minorBidi"/>
          <w:szCs w:val="22"/>
          <w:lang w:val="en-NZ" w:eastAsia="en-NZ"/>
        </w:rPr>
      </w:pPr>
      <w:r>
        <w:t>Changing bright-line test to a rebuttable presumption</w:t>
      </w:r>
      <w:r>
        <w:tab/>
      </w:r>
      <w:r>
        <w:fldChar w:fldCharType="begin"/>
      </w:r>
      <w:r>
        <w:instrText xml:space="preserve"> PAGEREF _Toc432411895 \h </w:instrText>
      </w:r>
      <w:r>
        <w:fldChar w:fldCharType="separate"/>
      </w:r>
      <w:r>
        <w:t>6</w:t>
      </w:r>
      <w:r>
        <w:fldChar w:fldCharType="end"/>
      </w:r>
    </w:p>
    <w:p w:rsidR="00073D78" w:rsidRDefault="00073D78">
      <w:pPr>
        <w:pStyle w:val="TOC2"/>
        <w:rPr>
          <w:rFonts w:asciiTheme="minorHAnsi" w:eastAsiaTheme="minorEastAsia" w:hAnsiTheme="minorHAnsi" w:cstheme="minorBidi"/>
          <w:szCs w:val="22"/>
          <w:lang w:val="en-NZ" w:eastAsia="en-NZ"/>
        </w:rPr>
      </w:pPr>
      <w:r>
        <w:t>Applying bright-line to other assets</w:t>
      </w:r>
      <w:r>
        <w:tab/>
      </w:r>
      <w:r>
        <w:fldChar w:fldCharType="begin"/>
      </w:r>
      <w:r>
        <w:instrText xml:space="preserve"> PAGEREF _Toc432411896 \h </w:instrText>
      </w:r>
      <w:r>
        <w:fldChar w:fldCharType="separate"/>
      </w:r>
      <w:r>
        <w:t>7</w:t>
      </w:r>
      <w:r>
        <w:fldChar w:fldCharType="end"/>
      </w:r>
    </w:p>
    <w:p w:rsidR="00073D78" w:rsidRDefault="00073D78">
      <w:pPr>
        <w:pStyle w:val="TOC2"/>
        <w:rPr>
          <w:rFonts w:asciiTheme="minorHAnsi" w:eastAsiaTheme="minorEastAsia" w:hAnsiTheme="minorHAnsi" w:cstheme="minorBidi"/>
          <w:szCs w:val="22"/>
          <w:lang w:val="en-NZ" w:eastAsia="en-NZ"/>
        </w:rPr>
      </w:pPr>
      <w:r>
        <w:t>Legislative coherence</w:t>
      </w:r>
      <w:r>
        <w:tab/>
      </w:r>
      <w:r>
        <w:fldChar w:fldCharType="begin"/>
      </w:r>
      <w:r>
        <w:instrText xml:space="preserve"> PAGEREF _Toc432411897 \h </w:instrText>
      </w:r>
      <w:r>
        <w:fldChar w:fldCharType="separate"/>
      </w:r>
      <w:r>
        <w:t>8</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Coherence of reforms</w:t>
      </w:r>
      <w:r>
        <w:tab/>
      </w:r>
      <w:r>
        <w:fldChar w:fldCharType="begin"/>
      </w:r>
      <w:r>
        <w:instrText xml:space="preserve"> PAGEREF _Toc432411898 \h </w:instrText>
      </w:r>
      <w:r>
        <w:fldChar w:fldCharType="separate"/>
      </w:r>
      <w:r>
        <w:t>8</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Coherence with current land rules</w:t>
      </w:r>
      <w:r>
        <w:tab/>
      </w:r>
      <w:r>
        <w:fldChar w:fldCharType="begin"/>
      </w:r>
      <w:r>
        <w:instrText xml:space="preserve"> PAGEREF _Toc432411899 \h </w:instrText>
      </w:r>
      <w:r>
        <w:fldChar w:fldCharType="separate"/>
      </w:r>
      <w:r>
        <w:t>8</w:t>
      </w:r>
      <w:r>
        <w:fldChar w:fldCharType="end"/>
      </w:r>
    </w:p>
    <w:p w:rsidR="00073D78" w:rsidRDefault="00073D78">
      <w:pPr>
        <w:pStyle w:val="TOC2"/>
        <w:rPr>
          <w:rFonts w:asciiTheme="minorHAnsi" w:eastAsiaTheme="minorEastAsia" w:hAnsiTheme="minorHAnsi" w:cstheme="minorBidi"/>
          <w:szCs w:val="22"/>
          <w:lang w:val="en-NZ" w:eastAsia="en-NZ"/>
        </w:rPr>
      </w:pPr>
      <w:r>
        <w:t>Timeframe for submissions</w:t>
      </w:r>
      <w:r>
        <w:tab/>
      </w:r>
      <w:r>
        <w:fldChar w:fldCharType="begin"/>
      </w:r>
      <w:r>
        <w:instrText xml:space="preserve"> PAGEREF _Toc432411900 \h </w:instrText>
      </w:r>
      <w:r>
        <w:fldChar w:fldCharType="separate"/>
      </w:r>
      <w:r>
        <w:t>10</w:t>
      </w:r>
      <w:r>
        <w:fldChar w:fldCharType="end"/>
      </w:r>
    </w:p>
    <w:p w:rsidR="00073D78" w:rsidRDefault="00073D78">
      <w:pPr>
        <w:pStyle w:val="TOC2"/>
        <w:rPr>
          <w:rFonts w:asciiTheme="minorHAnsi" w:eastAsiaTheme="minorEastAsia" w:hAnsiTheme="minorHAnsi" w:cstheme="minorBidi"/>
          <w:szCs w:val="22"/>
          <w:lang w:val="en-NZ" w:eastAsia="en-NZ"/>
        </w:rPr>
      </w:pPr>
      <w:r>
        <w:t>Alternative design of bright-line test</w:t>
      </w:r>
      <w:r>
        <w:tab/>
      </w:r>
      <w:r>
        <w:fldChar w:fldCharType="begin"/>
      </w:r>
      <w:r>
        <w:instrText xml:space="preserve"> PAGEREF _Toc432411901 \h </w:instrText>
      </w:r>
      <w:r>
        <w:fldChar w:fldCharType="separate"/>
      </w:r>
      <w:r>
        <w:t>11</w:t>
      </w:r>
      <w:r>
        <w:fldChar w:fldCharType="end"/>
      </w:r>
    </w:p>
    <w:p w:rsidR="00073D78" w:rsidRDefault="00073D78">
      <w:pPr>
        <w:pStyle w:val="TOC2"/>
        <w:rPr>
          <w:rFonts w:asciiTheme="minorHAnsi" w:eastAsiaTheme="minorEastAsia" w:hAnsiTheme="minorHAnsi" w:cstheme="minorBidi"/>
          <w:szCs w:val="22"/>
          <w:lang w:val="en-NZ" w:eastAsia="en-NZ"/>
        </w:rPr>
      </w:pPr>
      <w:r>
        <w:t>Order and status of proposed section CB 6A</w:t>
      </w:r>
      <w:r>
        <w:tab/>
      </w:r>
      <w:r>
        <w:fldChar w:fldCharType="begin"/>
      </w:r>
      <w:r>
        <w:instrText xml:space="preserve"> PAGEREF _Toc432411902 \h </w:instrText>
      </w:r>
      <w:r>
        <w:fldChar w:fldCharType="separate"/>
      </w:r>
      <w:r>
        <w:t>12</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Ordering of sections</w:t>
      </w:r>
      <w:r>
        <w:tab/>
      </w:r>
      <w:r>
        <w:fldChar w:fldCharType="begin"/>
      </w:r>
      <w:r>
        <w:instrText xml:space="preserve"> PAGEREF _Toc432411903 \h </w:instrText>
      </w:r>
      <w:r>
        <w:fldChar w:fldCharType="separate"/>
      </w:r>
      <w:r>
        <w:t>12</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Status of section CB 6A</w:t>
      </w:r>
      <w:r>
        <w:tab/>
      </w:r>
      <w:r>
        <w:fldChar w:fldCharType="begin"/>
      </w:r>
      <w:r>
        <w:instrText xml:space="preserve"> PAGEREF _Toc432411904 \h </w:instrText>
      </w:r>
      <w:r>
        <w:fldChar w:fldCharType="separate"/>
      </w:r>
      <w:r>
        <w:t>12</w:t>
      </w:r>
      <w:r>
        <w:fldChar w:fldCharType="end"/>
      </w:r>
    </w:p>
    <w:p w:rsidR="00073D78" w:rsidRDefault="00073D78">
      <w:pPr>
        <w:pStyle w:val="TOC2"/>
        <w:rPr>
          <w:rFonts w:asciiTheme="minorHAnsi" w:eastAsiaTheme="minorEastAsia" w:hAnsiTheme="minorHAnsi" w:cstheme="minorBidi"/>
          <w:szCs w:val="22"/>
          <w:lang w:val="en-NZ" w:eastAsia="en-NZ"/>
        </w:rPr>
      </w:pPr>
      <w:r>
        <w:t>Year income derived under bright-line</w:t>
      </w:r>
      <w:r>
        <w:tab/>
      </w:r>
      <w:r>
        <w:fldChar w:fldCharType="begin"/>
      </w:r>
      <w:r>
        <w:instrText xml:space="preserve"> PAGEREF _Toc432411905 \h </w:instrText>
      </w:r>
      <w:r>
        <w:fldChar w:fldCharType="separate"/>
      </w:r>
      <w:r>
        <w:t>14</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Income year bright-line income derived</w:t>
      </w:r>
      <w:r>
        <w:tab/>
      </w:r>
      <w:r>
        <w:fldChar w:fldCharType="begin"/>
      </w:r>
      <w:r>
        <w:instrText xml:space="preserve"> PAGEREF _Toc432411906 \h </w:instrText>
      </w:r>
      <w:r>
        <w:fldChar w:fldCharType="separate"/>
      </w:r>
      <w:r>
        <w:t>14</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Use of term “date of disposal”</w:t>
      </w:r>
      <w:r>
        <w:tab/>
      </w:r>
      <w:r>
        <w:fldChar w:fldCharType="begin"/>
      </w:r>
      <w:r>
        <w:instrText xml:space="preserve"> PAGEREF _Toc432411907 \h </w:instrText>
      </w:r>
      <w:r>
        <w:fldChar w:fldCharType="separate"/>
      </w:r>
      <w:r>
        <w:t>14</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Specific allocation rules and express provision against possibility of double taxation</w:t>
      </w:r>
      <w:r>
        <w:tab/>
      </w:r>
      <w:r>
        <w:fldChar w:fldCharType="begin"/>
      </w:r>
      <w:r>
        <w:instrText xml:space="preserve"> PAGEREF _Toc432411908 \h </w:instrText>
      </w:r>
      <w:r>
        <w:fldChar w:fldCharType="separate"/>
      </w:r>
      <w:r>
        <w:t>15</w:t>
      </w:r>
      <w:r>
        <w:fldChar w:fldCharType="end"/>
      </w:r>
    </w:p>
    <w:p w:rsidR="00073D78" w:rsidRDefault="00073D78">
      <w:pPr>
        <w:pStyle w:val="TOC2"/>
        <w:rPr>
          <w:rFonts w:asciiTheme="minorHAnsi" w:eastAsiaTheme="minorEastAsia" w:hAnsiTheme="minorHAnsi" w:cstheme="minorBidi"/>
          <w:szCs w:val="22"/>
          <w:lang w:val="en-NZ" w:eastAsia="en-NZ"/>
        </w:rPr>
      </w:pPr>
      <w:r>
        <w:t>International tax issues</w:t>
      </w:r>
      <w:r>
        <w:tab/>
      </w:r>
      <w:r>
        <w:fldChar w:fldCharType="begin"/>
      </w:r>
      <w:r>
        <w:instrText xml:space="preserve"> PAGEREF _Toc432411909 \h </w:instrText>
      </w:r>
      <w:r>
        <w:fldChar w:fldCharType="separate"/>
      </w:r>
      <w:r>
        <w:t>16</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Limit to property situated in New Zealand</w:t>
      </w:r>
      <w:r>
        <w:tab/>
      </w:r>
      <w:r>
        <w:fldChar w:fldCharType="begin"/>
      </w:r>
      <w:r>
        <w:instrText xml:space="preserve"> PAGEREF _Toc432411910 \h </w:instrText>
      </w:r>
      <w:r>
        <w:fldChar w:fldCharType="separate"/>
      </w:r>
      <w:r>
        <w:t>16</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Claiming foreign tax credits</w:t>
      </w:r>
      <w:r>
        <w:tab/>
      </w:r>
      <w:r>
        <w:fldChar w:fldCharType="begin"/>
      </w:r>
      <w:r>
        <w:instrText xml:space="preserve"> PAGEREF _Toc432411911 \h </w:instrText>
      </w:r>
      <w:r>
        <w:fldChar w:fldCharType="separate"/>
      </w:r>
      <w:r>
        <w:t>16</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Non-resident foreign-sourced income</w:t>
      </w:r>
      <w:r>
        <w:tab/>
      </w:r>
      <w:r>
        <w:fldChar w:fldCharType="begin"/>
      </w:r>
      <w:r>
        <w:instrText xml:space="preserve"> PAGEREF _Toc432411912 \h </w:instrText>
      </w:r>
      <w:r>
        <w:fldChar w:fldCharType="separate"/>
      </w:r>
      <w:r>
        <w:t>17</w:t>
      </w:r>
      <w:r>
        <w:fldChar w:fldCharType="end"/>
      </w:r>
    </w:p>
    <w:p w:rsidR="00073D78" w:rsidRDefault="00073D78">
      <w:pPr>
        <w:pStyle w:val="TOC2"/>
        <w:rPr>
          <w:rFonts w:asciiTheme="minorHAnsi" w:eastAsiaTheme="minorEastAsia" w:hAnsiTheme="minorHAnsi" w:cstheme="minorBidi"/>
          <w:szCs w:val="22"/>
          <w:lang w:val="en-NZ" w:eastAsia="en-NZ"/>
        </w:rPr>
      </w:pPr>
      <w:r>
        <w:t>Two-year period</w:t>
      </w:r>
      <w:r>
        <w:tab/>
      </w:r>
      <w:r>
        <w:fldChar w:fldCharType="begin"/>
      </w:r>
      <w:r>
        <w:instrText xml:space="preserve"> PAGEREF _Toc432411913 \h </w:instrText>
      </w:r>
      <w:r>
        <w:fldChar w:fldCharType="separate"/>
      </w:r>
      <w:r>
        <w:t>18</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Start date for two-year period</w:t>
      </w:r>
      <w:r>
        <w:tab/>
      </w:r>
      <w:r>
        <w:fldChar w:fldCharType="begin"/>
      </w:r>
      <w:r>
        <w:instrText xml:space="preserve"> PAGEREF _Toc432411914 \h </w:instrText>
      </w:r>
      <w:r>
        <w:fldChar w:fldCharType="separate"/>
      </w:r>
      <w:r>
        <w:t>18</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Sales “off the plan”</w:t>
      </w:r>
      <w:r>
        <w:tab/>
      </w:r>
      <w:r>
        <w:fldChar w:fldCharType="begin"/>
      </w:r>
      <w:r>
        <w:instrText xml:space="preserve"> PAGEREF _Toc432411915 \h </w:instrText>
      </w:r>
      <w:r>
        <w:fldChar w:fldCharType="separate"/>
      </w:r>
      <w:r>
        <w:t>19</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Reducing two-year period</w:t>
      </w:r>
      <w:r>
        <w:tab/>
      </w:r>
      <w:r>
        <w:fldChar w:fldCharType="begin"/>
      </w:r>
      <w:r>
        <w:instrText xml:space="preserve"> PAGEREF _Toc432411916 \h </w:instrText>
      </w:r>
      <w:r>
        <w:fldChar w:fldCharType="separate"/>
      </w:r>
      <w:r>
        <w:t>20</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Start date for third-party nominations</w:t>
      </w:r>
      <w:r>
        <w:tab/>
      </w:r>
      <w:r>
        <w:fldChar w:fldCharType="begin"/>
      </w:r>
      <w:r>
        <w:instrText xml:space="preserve"> PAGEREF _Toc432411917 \h </w:instrText>
      </w:r>
      <w:r>
        <w:fldChar w:fldCharType="separate"/>
      </w:r>
      <w:r>
        <w:t>20</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Start date for associated-party nominations</w:t>
      </w:r>
      <w:r>
        <w:tab/>
      </w:r>
      <w:r>
        <w:fldChar w:fldCharType="begin"/>
      </w:r>
      <w:r>
        <w:instrText xml:space="preserve"> PAGEREF _Toc432411918 \h </w:instrText>
      </w:r>
      <w:r>
        <w:fldChar w:fldCharType="separate"/>
      </w:r>
      <w:r>
        <w:t>21</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Clarification required for “date of acquisition”</w:t>
      </w:r>
      <w:r>
        <w:tab/>
      </w:r>
      <w:r>
        <w:fldChar w:fldCharType="begin"/>
      </w:r>
      <w:r>
        <w:instrText xml:space="preserve"> PAGEREF _Toc432411919 \h </w:instrText>
      </w:r>
      <w:r>
        <w:fldChar w:fldCharType="separate"/>
      </w:r>
      <w:r>
        <w:t>22</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Clarification for Land Transfer Act reference</w:t>
      </w:r>
      <w:r>
        <w:tab/>
      </w:r>
      <w:r>
        <w:fldChar w:fldCharType="begin"/>
      </w:r>
      <w:r>
        <w:instrText xml:space="preserve"> PAGEREF _Toc432411920 \h </w:instrText>
      </w:r>
      <w:r>
        <w:fldChar w:fldCharType="separate"/>
      </w:r>
      <w:r>
        <w:t>22</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Subdivided land</w:t>
      </w:r>
      <w:r>
        <w:tab/>
      </w:r>
      <w:r>
        <w:fldChar w:fldCharType="begin"/>
      </w:r>
      <w:r>
        <w:instrText xml:space="preserve"> PAGEREF _Toc432411921 \h </w:instrText>
      </w:r>
      <w:r>
        <w:fldChar w:fldCharType="separate"/>
      </w:r>
      <w:r>
        <w:t>23</w:t>
      </w:r>
      <w:r>
        <w:fldChar w:fldCharType="end"/>
      </w:r>
    </w:p>
    <w:p w:rsidR="00073D78" w:rsidRDefault="00073D78">
      <w:pPr>
        <w:pStyle w:val="TOC2"/>
        <w:rPr>
          <w:rFonts w:asciiTheme="minorHAnsi" w:eastAsiaTheme="minorEastAsia" w:hAnsiTheme="minorHAnsi" w:cstheme="minorBidi"/>
          <w:szCs w:val="22"/>
          <w:lang w:val="en-NZ" w:eastAsia="en-NZ"/>
        </w:rPr>
      </w:pPr>
      <w:r>
        <w:t>Residential land</w:t>
      </w:r>
      <w:r>
        <w:tab/>
      </w:r>
      <w:r>
        <w:fldChar w:fldCharType="begin"/>
      </w:r>
      <w:r>
        <w:instrText xml:space="preserve"> PAGEREF _Toc432411922 \h </w:instrText>
      </w:r>
      <w:r>
        <w:fldChar w:fldCharType="separate"/>
      </w:r>
      <w:r>
        <w:t>24</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Bare land</w:t>
      </w:r>
      <w:r>
        <w:tab/>
      </w:r>
      <w:r>
        <w:fldChar w:fldCharType="begin"/>
      </w:r>
      <w:r>
        <w:instrText xml:space="preserve"> PAGEREF _Toc432411923 \h </w:instrText>
      </w:r>
      <w:r>
        <w:fldChar w:fldCharType="separate"/>
      </w:r>
      <w:r>
        <w:t>24</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Farmland</w:t>
      </w:r>
      <w:r>
        <w:tab/>
      </w:r>
      <w:r>
        <w:fldChar w:fldCharType="begin"/>
      </w:r>
      <w:r>
        <w:instrText xml:space="preserve"> PAGEREF _Toc432411924 \h </w:instrText>
      </w:r>
      <w:r>
        <w:fldChar w:fldCharType="separate"/>
      </w:r>
      <w:r>
        <w:t>24</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Residential leases</w:t>
      </w:r>
      <w:r>
        <w:tab/>
      </w:r>
      <w:r>
        <w:fldChar w:fldCharType="begin"/>
      </w:r>
      <w:r>
        <w:instrText xml:space="preserve"> PAGEREF _Toc432411925 \h </w:instrText>
      </w:r>
      <w:r>
        <w:fldChar w:fldCharType="separate"/>
      </w:r>
      <w:r>
        <w:t>25</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Extent of land that is “business premises”</w:t>
      </w:r>
      <w:r>
        <w:tab/>
      </w:r>
      <w:r>
        <w:fldChar w:fldCharType="begin"/>
      </w:r>
      <w:r>
        <w:instrText xml:space="preserve"> PAGEREF _Toc432411926 \h </w:instrText>
      </w:r>
      <w:r>
        <w:fldChar w:fldCharType="separate"/>
      </w:r>
      <w:r>
        <w:t>26</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Use of business premises or farmland by transferor</w:t>
      </w:r>
      <w:r>
        <w:tab/>
      </w:r>
      <w:r>
        <w:fldChar w:fldCharType="begin"/>
      </w:r>
      <w:r>
        <w:instrText xml:space="preserve"> PAGEREF _Toc432411927 \h </w:instrText>
      </w:r>
      <w:r>
        <w:fldChar w:fldCharType="separate"/>
      </w:r>
      <w:r>
        <w:t>27</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Land used for rental purposes</w:t>
      </w:r>
      <w:r>
        <w:tab/>
      </w:r>
      <w:r>
        <w:fldChar w:fldCharType="begin"/>
      </w:r>
      <w:r>
        <w:instrText xml:space="preserve"> PAGEREF _Toc432411928 \h </w:instrText>
      </w:r>
      <w:r>
        <w:fldChar w:fldCharType="separate"/>
      </w:r>
      <w:r>
        <w:t>27</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Extending bright-line to all land</w:t>
      </w:r>
      <w:r>
        <w:tab/>
      </w:r>
      <w:r>
        <w:fldChar w:fldCharType="begin"/>
      </w:r>
      <w:r>
        <w:instrText xml:space="preserve"> PAGEREF _Toc432411929 \h </w:instrText>
      </w:r>
      <w:r>
        <w:fldChar w:fldCharType="separate"/>
      </w:r>
      <w:r>
        <w:t>28</w:t>
      </w:r>
      <w:r>
        <w:fldChar w:fldCharType="end"/>
      </w:r>
    </w:p>
    <w:p w:rsidR="00073D78" w:rsidRDefault="00073D78">
      <w:pPr>
        <w:pStyle w:val="TOC2"/>
        <w:rPr>
          <w:rFonts w:asciiTheme="minorHAnsi" w:eastAsiaTheme="minorEastAsia" w:hAnsiTheme="minorHAnsi" w:cstheme="minorBidi"/>
          <w:szCs w:val="22"/>
          <w:lang w:val="en-NZ" w:eastAsia="en-NZ"/>
        </w:rPr>
      </w:pPr>
      <w:r>
        <w:t>Main home</w:t>
      </w:r>
      <w:r>
        <w:tab/>
      </w:r>
      <w:r>
        <w:fldChar w:fldCharType="begin"/>
      </w:r>
      <w:r>
        <w:instrText xml:space="preserve"> PAGEREF _Toc432411930 \h </w:instrText>
      </w:r>
      <w:r>
        <w:fldChar w:fldCharType="separate"/>
      </w:r>
      <w:r>
        <w:t>29</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Alignment with current residential exclusion</w:t>
      </w:r>
      <w:r>
        <w:tab/>
      </w:r>
      <w:r>
        <w:fldChar w:fldCharType="begin"/>
      </w:r>
      <w:r>
        <w:instrText xml:space="preserve"> PAGEREF _Toc432411931 \h </w:instrText>
      </w:r>
      <w:r>
        <w:fldChar w:fldCharType="separate"/>
      </w:r>
      <w:r>
        <w:t>29</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Lifestyle blocks</w:t>
      </w:r>
      <w:r>
        <w:tab/>
      </w:r>
      <w:r>
        <w:fldChar w:fldCharType="begin"/>
      </w:r>
      <w:r>
        <w:instrText xml:space="preserve"> PAGEREF _Toc432411932 \h </w:instrText>
      </w:r>
      <w:r>
        <w:fldChar w:fldCharType="separate"/>
      </w:r>
      <w:r>
        <w:t>30</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Legislatively detailing main home exception</w:t>
      </w:r>
      <w:r>
        <w:tab/>
      </w:r>
      <w:r>
        <w:fldChar w:fldCharType="begin"/>
      </w:r>
      <w:r>
        <w:instrText xml:space="preserve"> PAGEREF _Toc432411933 \h </w:instrText>
      </w:r>
      <w:r>
        <w:fldChar w:fldCharType="separate"/>
      </w:r>
      <w:r>
        <w:t>30</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Detailed guidance required</w:t>
      </w:r>
      <w:r>
        <w:tab/>
      </w:r>
      <w:r>
        <w:fldChar w:fldCharType="begin"/>
      </w:r>
      <w:r>
        <w:instrText xml:space="preserve"> PAGEREF _Toc432411934 \h </w:instrText>
      </w:r>
      <w:r>
        <w:fldChar w:fldCharType="separate"/>
      </w:r>
      <w:r>
        <w:t>31</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Habitual seller rule</w:t>
      </w:r>
      <w:r>
        <w:tab/>
      </w:r>
      <w:r>
        <w:fldChar w:fldCharType="begin"/>
      </w:r>
      <w:r>
        <w:instrText xml:space="preserve"> PAGEREF _Toc432411935 \h </w:instrText>
      </w:r>
      <w:r>
        <w:fldChar w:fldCharType="separate"/>
      </w:r>
      <w:r>
        <w:t>32</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Principal settlor rule does not work appropriately in all circumstances</w:t>
      </w:r>
      <w:r>
        <w:tab/>
      </w:r>
      <w:r>
        <w:fldChar w:fldCharType="begin"/>
      </w:r>
      <w:r>
        <w:instrText xml:space="preserve"> PAGEREF _Toc432411936 \h </w:instrText>
      </w:r>
      <w:r>
        <w:fldChar w:fldCharType="separate"/>
      </w:r>
      <w:r>
        <w:t>32</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bCs/>
          <w:lang w:val="en-NZ"/>
        </w:rPr>
        <w:t>Issue:</w:t>
      </w:r>
      <w:r>
        <w:rPr>
          <w:rFonts w:asciiTheme="minorHAnsi" w:eastAsiaTheme="minorEastAsia" w:hAnsiTheme="minorHAnsi" w:cstheme="minorBidi"/>
          <w:sz w:val="22"/>
          <w:szCs w:val="22"/>
          <w:lang w:val="en-NZ" w:eastAsia="en-NZ"/>
        </w:rPr>
        <w:tab/>
      </w:r>
      <w:r w:rsidRPr="00685D2E">
        <w:rPr>
          <w:bCs/>
          <w:lang w:val="en-NZ"/>
        </w:rPr>
        <w:t>What transfers of value are counted for determining a principal settlor</w:t>
      </w:r>
      <w:r>
        <w:tab/>
      </w:r>
      <w:r>
        <w:fldChar w:fldCharType="begin"/>
      </w:r>
      <w:r>
        <w:instrText xml:space="preserve"> PAGEREF _Toc432411937 \h </w:instrText>
      </w:r>
      <w:r>
        <w:fldChar w:fldCharType="separate"/>
      </w:r>
      <w:r>
        <w:t>33</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Use of term “value”</w:t>
      </w:r>
      <w:r>
        <w:tab/>
      </w:r>
      <w:r>
        <w:fldChar w:fldCharType="begin"/>
      </w:r>
      <w:r>
        <w:instrText xml:space="preserve"> PAGEREF _Toc432411938 \h </w:instrText>
      </w:r>
      <w:r>
        <w:fldChar w:fldCharType="separate"/>
      </w:r>
      <w:r>
        <w:t>34</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Multiple principal settlors</w:t>
      </w:r>
      <w:r>
        <w:tab/>
      </w:r>
      <w:r>
        <w:fldChar w:fldCharType="begin"/>
      </w:r>
      <w:r>
        <w:instrText xml:space="preserve"> PAGEREF _Toc432411939 \h </w:instrText>
      </w:r>
      <w:r>
        <w:fldChar w:fldCharType="separate"/>
      </w:r>
      <w:r>
        <w:t>34</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Focus on ownership</w:t>
      </w:r>
      <w:r>
        <w:tab/>
      </w:r>
      <w:r>
        <w:fldChar w:fldCharType="begin"/>
      </w:r>
      <w:r>
        <w:instrText xml:space="preserve"> PAGEREF _Toc432411940 \h </w:instrText>
      </w:r>
      <w:r>
        <w:fldChar w:fldCharType="separate"/>
      </w:r>
      <w:r>
        <w:t>35</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Communal land</w:t>
      </w:r>
      <w:r>
        <w:tab/>
      </w:r>
      <w:r>
        <w:fldChar w:fldCharType="begin"/>
      </w:r>
      <w:r>
        <w:instrText xml:space="preserve"> PAGEREF _Toc432411941 \h </w:instrText>
      </w:r>
      <w:r>
        <w:fldChar w:fldCharType="separate"/>
      </w:r>
      <w:r>
        <w:t>35</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Use of home by family members</w:t>
      </w:r>
      <w:r>
        <w:tab/>
      </w:r>
      <w:r>
        <w:fldChar w:fldCharType="begin"/>
      </w:r>
      <w:r>
        <w:instrText xml:space="preserve"> PAGEREF _Toc432411942 \h </w:instrText>
      </w:r>
      <w:r>
        <w:fldChar w:fldCharType="separate"/>
      </w:r>
      <w:r>
        <w:t>36</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Look-through companies</w:t>
      </w:r>
      <w:r>
        <w:tab/>
      </w:r>
      <w:r>
        <w:fldChar w:fldCharType="begin"/>
      </w:r>
      <w:r>
        <w:instrText xml:space="preserve"> PAGEREF _Toc432411943 \h </w:instrText>
      </w:r>
      <w:r>
        <w:fldChar w:fldCharType="separate"/>
      </w:r>
      <w:r>
        <w:t>37</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Broader main home exception</w:t>
      </w:r>
      <w:r>
        <w:tab/>
      </w:r>
      <w:r>
        <w:fldChar w:fldCharType="begin"/>
      </w:r>
      <w:r>
        <w:instrText xml:space="preserve"> PAGEREF _Toc432411944 \h </w:instrText>
      </w:r>
      <w:r>
        <w:fldChar w:fldCharType="separate"/>
      </w:r>
      <w:r>
        <w:t>37</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Use of main home exception by non-residents</w:t>
      </w:r>
      <w:r>
        <w:tab/>
      </w:r>
      <w:r>
        <w:fldChar w:fldCharType="begin"/>
      </w:r>
      <w:r>
        <w:instrText xml:space="preserve"> PAGEREF _Toc432411945 \h </w:instrText>
      </w:r>
      <w:r>
        <w:fldChar w:fldCharType="separate"/>
      </w:r>
      <w:r>
        <w:t>38</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Practical difficulty in applying principal settlor test</w:t>
      </w:r>
      <w:r>
        <w:tab/>
      </w:r>
      <w:r>
        <w:fldChar w:fldCharType="begin"/>
      </w:r>
      <w:r>
        <w:instrText xml:space="preserve"> PAGEREF _Toc432411946 \h </w:instrText>
      </w:r>
      <w:r>
        <w:fldChar w:fldCharType="separate"/>
      </w:r>
      <w:r>
        <w:t>38</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Principal settlor who has a main home that they do not own</w:t>
      </w:r>
      <w:r>
        <w:tab/>
      </w:r>
      <w:r>
        <w:fldChar w:fldCharType="begin"/>
      </w:r>
      <w:r>
        <w:instrText xml:space="preserve"> PAGEREF _Toc432411947 \h </w:instrText>
      </w:r>
      <w:r>
        <w:fldChar w:fldCharType="separate"/>
      </w:r>
      <w:r>
        <w:t>39</w:t>
      </w:r>
      <w:r>
        <w:fldChar w:fldCharType="end"/>
      </w:r>
    </w:p>
    <w:p w:rsidR="00073D78" w:rsidRDefault="00073D78">
      <w:pPr>
        <w:pStyle w:val="TOC2"/>
        <w:rPr>
          <w:rFonts w:asciiTheme="minorHAnsi" w:eastAsiaTheme="minorEastAsia" w:hAnsiTheme="minorHAnsi" w:cstheme="minorBidi"/>
          <w:szCs w:val="22"/>
          <w:lang w:val="en-NZ" w:eastAsia="en-NZ"/>
        </w:rPr>
      </w:pPr>
      <w:r>
        <w:t>Inherited property</w:t>
      </w:r>
      <w:r>
        <w:tab/>
      </w:r>
      <w:r>
        <w:fldChar w:fldCharType="begin"/>
      </w:r>
      <w:r>
        <w:instrText xml:space="preserve"> PAGEREF _Toc432411948 \h </w:instrText>
      </w:r>
      <w:r>
        <w:fldChar w:fldCharType="separate"/>
      </w:r>
      <w:r>
        <w:t>40</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Drafting of “cost of residential land”</w:t>
      </w:r>
      <w:r>
        <w:tab/>
      </w:r>
      <w:r>
        <w:fldChar w:fldCharType="begin"/>
      </w:r>
      <w:r>
        <w:instrText xml:space="preserve"> PAGEREF _Toc432411949 \h </w:instrText>
      </w:r>
      <w:r>
        <w:fldChar w:fldCharType="separate"/>
      </w:r>
      <w:r>
        <w:t>40</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Redrafting inheritance provision</w:t>
      </w:r>
      <w:r>
        <w:tab/>
      </w:r>
      <w:r>
        <w:fldChar w:fldCharType="begin"/>
      </w:r>
      <w:r>
        <w:instrText xml:space="preserve"> PAGEREF _Toc432411950 \h </w:instrText>
      </w:r>
      <w:r>
        <w:fldChar w:fldCharType="separate"/>
      </w:r>
      <w:r>
        <w:t>40</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Alignment with other provisions in subpart FC</w:t>
      </w:r>
      <w:r>
        <w:tab/>
      </w:r>
      <w:r>
        <w:fldChar w:fldCharType="begin"/>
      </w:r>
      <w:r>
        <w:instrText xml:space="preserve"> PAGEREF _Toc432411951 \h </w:instrText>
      </w:r>
      <w:r>
        <w:fldChar w:fldCharType="separate"/>
      </w:r>
      <w:r>
        <w:t>41</w:t>
      </w:r>
      <w:r>
        <w:fldChar w:fldCharType="end"/>
      </w:r>
    </w:p>
    <w:p w:rsidR="00073D78" w:rsidRDefault="00073D78">
      <w:pPr>
        <w:pStyle w:val="TOC2"/>
        <w:rPr>
          <w:rFonts w:asciiTheme="minorHAnsi" w:eastAsiaTheme="minorEastAsia" w:hAnsiTheme="minorHAnsi" w:cstheme="minorBidi"/>
          <w:szCs w:val="22"/>
          <w:lang w:val="en-NZ" w:eastAsia="en-NZ"/>
        </w:rPr>
      </w:pPr>
      <w:r>
        <w:t>Relationship property</w:t>
      </w:r>
      <w:r>
        <w:tab/>
      </w:r>
      <w:r>
        <w:fldChar w:fldCharType="begin"/>
      </w:r>
      <w:r>
        <w:instrText xml:space="preserve"> PAGEREF _Toc432411952 \h </w:instrText>
      </w:r>
      <w:r>
        <w:fldChar w:fldCharType="separate"/>
      </w:r>
      <w:r>
        <w:t>42</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Alignment with inheritance</w:t>
      </w:r>
      <w:r>
        <w:tab/>
      </w:r>
      <w:r>
        <w:fldChar w:fldCharType="begin"/>
      </w:r>
      <w:r>
        <w:instrText xml:space="preserve"> PAGEREF _Toc432411953 \h </w:instrText>
      </w:r>
      <w:r>
        <w:fldChar w:fldCharType="separate"/>
      </w:r>
      <w:r>
        <w:t>42</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Use of term “date of acquisition”</w:t>
      </w:r>
      <w:r>
        <w:tab/>
      </w:r>
      <w:r>
        <w:fldChar w:fldCharType="begin"/>
      </w:r>
      <w:r>
        <w:instrText xml:space="preserve"> PAGEREF _Toc432411954 \h </w:instrText>
      </w:r>
      <w:r>
        <w:fldChar w:fldCharType="separate"/>
      </w:r>
      <w:r>
        <w:t>43</w:t>
      </w:r>
      <w:r>
        <w:fldChar w:fldCharType="end"/>
      </w:r>
    </w:p>
    <w:p w:rsidR="00073D78" w:rsidRDefault="00073D78">
      <w:pPr>
        <w:pStyle w:val="TOC2"/>
        <w:rPr>
          <w:rFonts w:asciiTheme="minorHAnsi" w:eastAsiaTheme="minorEastAsia" w:hAnsiTheme="minorHAnsi" w:cstheme="minorBidi"/>
          <w:szCs w:val="22"/>
          <w:lang w:val="en-NZ" w:eastAsia="en-NZ"/>
        </w:rPr>
      </w:pPr>
      <w:r>
        <w:t>Other exceptions</w:t>
      </w:r>
      <w:r>
        <w:tab/>
      </w:r>
      <w:r>
        <w:fldChar w:fldCharType="begin"/>
      </w:r>
      <w:r>
        <w:instrText xml:space="preserve"> PAGEREF _Toc432411955 \h </w:instrText>
      </w:r>
      <w:r>
        <w:fldChar w:fldCharType="separate"/>
      </w:r>
      <w:r>
        <w:t>44</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Exceptions for circumstances outside seller’s control</w:t>
      </w:r>
      <w:r>
        <w:tab/>
      </w:r>
      <w:r>
        <w:fldChar w:fldCharType="begin"/>
      </w:r>
      <w:r>
        <w:instrText xml:space="preserve"> PAGEREF _Toc432411956 \h </w:instrText>
      </w:r>
      <w:r>
        <w:fldChar w:fldCharType="separate"/>
      </w:r>
      <w:r>
        <w:t>44</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Exception for persons who hold leasehold title in property prior to obtaining freehold title</w:t>
      </w:r>
      <w:r>
        <w:tab/>
      </w:r>
      <w:r>
        <w:fldChar w:fldCharType="begin"/>
      </w:r>
      <w:r>
        <w:instrText xml:space="preserve"> PAGEREF _Toc432411957 \h </w:instrText>
      </w:r>
      <w:r>
        <w:fldChar w:fldCharType="separate"/>
      </w:r>
      <w:r>
        <w:t>45</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Rollover relief for associated persons</w:t>
      </w:r>
      <w:r>
        <w:tab/>
      </w:r>
      <w:r>
        <w:fldChar w:fldCharType="begin"/>
      </w:r>
      <w:r>
        <w:instrText xml:space="preserve"> PAGEREF _Toc432411958 \h </w:instrText>
      </w:r>
      <w:r>
        <w:fldChar w:fldCharType="separate"/>
      </w:r>
      <w:r>
        <w:t>45</w:t>
      </w:r>
      <w:r>
        <w:fldChar w:fldCharType="end"/>
      </w:r>
    </w:p>
    <w:p w:rsidR="00073D78" w:rsidRDefault="00073D78">
      <w:pPr>
        <w:pStyle w:val="TOC2"/>
        <w:rPr>
          <w:rFonts w:asciiTheme="minorHAnsi" w:eastAsiaTheme="minorEastAsia" w:hAnsiTheme="minorHAnsi" w:cstheme="minorBidi"/>
          <w:szCs w:val="22"/>
          <w:lang w:val="en-NZ" w:eastAsia="en-NZ"/>
        </w:rPr>
      </w:pPr>
      <w:r>
        <w:t>Holding costs for property subject to the bright-line should be deductible</w:t>
      </w:r>
      <w:r>
        <w:tab/>
      </w:r>
      <w:r>
        <w:fldChar w:fldCharType="begin"/>
      </w:r>
      <w:r>
        <w:instrText xml:space="preserve"> PAGEREF _Toc432411959 \h </w:instrText>
      </w:r>
      <w:r>
        <w:fldChar w:fldCharType="separate"/>
      </w:r>
      <w:r>
        <w:t>47</w:t>
      </w:r>
      <w:r>
        <w:fldChar w:fldCharType="end"/>
      </w:r>
    </w:p>
    <w:p w:rsidR="00073D78" w:rsidRDefault="00073D78">
      <w:pPr>
        <w:pStyle w:val="TOC2"/>
        <w:rPr>
          <w:rFonts w:asciiTheme="minorHAnsi" w:eastAsiaTheme="minorEastAsia" w:hAnsiTheme="minorHAnsi" w:cstheme="minorBidi"/>
          <w:szCs w:val="22"/>
          <w:lang w:val="en-NZ" w:eastAsia="en-NZ"/>
        </w:rPr>
      </w:pPr>
      <w:r>
        <w:t>Ring-fencing losses</w:t>
      </w:r>
      <w:r>
        <w:tab/>
      </w:r>
      <w:r>
        <w:fldChar w:fldCharType="begin"/>
      </w:r>
      <w:r>
        <w:instrText xml:space="preserve"> PAGEREF _Toc432411960 \h </w:instrText>
      </w:r>
      <w:r>
        <w:fldChar w:fldCharType="separate"/>
      </w:r>
      <w:r>
        <w:t>49</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Opposition to ring-fencing losses</w:t>
      </w:r>
      <w:r>
        <w:tab/>
      </w:r>
      <w:r>
        <w:fldChar w:fldCharType="begin"/>
      </w:r>
      <w:r>
        <w:instrText xml:space="preserve"> PAGEREF _Toc432411961 \h </w:instrText>
      </w:r>
      <w:r>
        <w:fldChar w:fldCharType="separate"/>
      </w:r>
      <w:r>
        <w:t>49</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Group companies</w:t>
      </w:r>
      <w:r>
        <w:tab/>
      </w:r>
      <w:r>
        <w:fldChar w:fldCharType="begin"/>
      </w:r>
      <w:r>
        <w:instrText xml:space="preserve"> PAGEREF _Toc432411962 \h </w:instrText>
      </w:r>
      <w:r>
        <w:fldChar w:fldCharType="separate"/>
      </w:r>
      <w:r>
        <w:t>50</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Spill-over</w:t>
      </w:r>
      <w:r>
        <w:tab/>
      </w:r>
      <w:r>
        <w:fldChar w:fldCharType="begin"/>
      </w:r>
      <w:r>
        <w:instrText xml:space="preserve"> PAGEREF _Toc432411963 \h </w:instrText>
      </w:r>
      <w:r>
        <w:fldChar w:fldCharType="separate"/>
      </w:r>
      <w:r>
        <w:t>50</w:t>
      </w:r>
      <w:r>
        <w:fldChar w:fldCharType="end"/>
      </w:r>
    </w:p>
    <w:p w:rsidR="00073D78" w:rsidRDefault="00073D78">
      <w:pPr>
        <w:pStyle w:val="TOC2"/>
        <w:rPr>
          <w:rFonts w:asciiTheme="minorHAnsi" w:eastAsiaTheme="minorEastAsia" w:hAnsiTheme="minorHAnsi" w:cstheme="minorBidi"/>
          <w:szCs w:val="22"/>
          <w:lang w:val="en-NZ" w:eastAsia="en-NZ"/>
        </w:rPr>
      </w:pPr>
      <w:r>
        <w:t>Losses from transfers to associated persons</w:t>
      </w:r>
      <w:r>
        <w:tab/>
      </w:r>
      <w:r>
        <w:fldChar w:fldCharType="begin"/>
      </w:r>
      <w:r>
        <w:instrText xml:space="preserve"> PAGEREF _Toc432411964 \h </w:instrText>
      </w:r>
      <w:r>
        <w:fldChar w:fldCharType="separate"/>
      </w:r>
      <w:r>
        <w:t>52</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Support for denying losses from transfers to associated persons</w:t>
      </w:r>
      <w:r>
        <w:tab/>
      </w:r>
      <w:r>
        <w:fldChar w:fldCharType="begin"/>
      </w:r>
      <w:r>
        <w:instrText xml:space="preserve"> PAGEREF _Toc432411965 \h </w:instrText>
      </w:r>
      <w:r>
        <w:fldChar w:fldCharType="separate"/>
      </w:r>
      <w:r>
        <w:t>52</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Opposition to denying losses from transfers to associated persons</w:t>
      </w:r>
      <w:r>
        <w:tab/>
      </w:r>
      <w:r>
        <w:fldChar w:fldCharType="begin"/>
      </w:r>
      <w:r>
        <w:instrText xml:space="preserve"> PAGEREF _Toc432411966 \h </w:instrText>
      </w:r>
      <w:r>
        <w:fldChar w:fldCharType="separate"/>
      </w:r>
      <w:r>
        <w:t>52</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Limiting provision to disposals taxable solely due to the bright-line</w:t>
      </w:r>
      <w:r>
        <w:tab/>
      </w:r>
      <w:r>
        <w:fldChar w:fldCharType="begin"/>
      </w:r>
      <w:r>
        <w:instrText xml:space="preserve"> PAGEREF _Toc432411967 \h </w:instrText>
      </w:r>
      <w:r>
        <w:fldChar w:fldCharType="separate"/>
      </w:r>
      <w:r>
        <w:t>53</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Cross-reference error</w:t>
      </w:r>
      <w:r>
        <w:tab/>
      </w:r>
      <w:r>
        <w:fldChar w:fldCharType="begin"/>
      </w:r>
      <w:r>
        <w:instrText xml:space="preserve"> PAGEREF _Toc432411968 \h </w:instrText>
      </w:r>
      <w:r>
        <w:fldChar w:fldCharType="separate"/>
      </w:r>
      <w:r>
        <w:t>53</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Adjusting cost base of associate</w:t>
      </w:r>
      <w:r>
        <w:tab/>
      </w:r>
      <w:r>
        <w:fldChar w:fldCharType="begin"/>
      </w:r>
      <w:r>
        <w:instrText xml:space="preserve"> PAGEREF _Toc432411969 \h </w:instrText>
      </w:r>
      <w:r>
        <w:fldChar w:fldCharType="separate"/>
      </w:r>
      <w:r>
        <w:t>54</w:t>
      </w:r>
      <w:r>
        <w:fldChar w:fldCharType="end"/>
      </w:r>
    </w:p>
    <w:p w:rsidR="00073D78" w:rsidRDefault="00073D78">
      <w:pPr>
        <w:pStyle w:val="TOC2"/>
        <w:rPr>
          <w:rFonts w:asciiTheme="minorHAnsi" w:eastAsiaTheme="minorEastAsia" w:hAnsiTheme="minorHAnsi" w:cstheme="minorBidi"/>
          <w:szCs w:val="22"/>
          <w:lang w:val="en-NZ" w:eastAsia="en-NZ"/>
        </w:rPr>
      </w:pPr>
      <w:r>
        <w:t>Land-rich companies and trusts</w:t>
      </w:r>
      <w:r>
        <w:tab/>
      </w:r>
      <w:r>
        <w:fldChar w:fldCharType="begin"/>
      </w:r>
      <w:r>
        <w:instrText xml:space="preserve"> PAGEREF _Toc432411970 \h </w:instrText>
      </w:r>
      <w:r>
        <w:fldChar w:fldCharType="separate"/>
      </w:r>
      <w:r>
        <w:t>55</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Support for proposed anti-avoidance rule</w:t>
      </w:r>
      <w:r>
        <w:tab/>
      </w:r>
      <w:r>
        <w:fldChar w:fldCharType="begin"/>
      </w:r>
      <w:r>
        <w:instrText xml:space="preserve"> PAGEREF _Toc432411971 \h </w:instrText>
      </w:r>
      <w:r>
        <w:fldChar w:fldCharType="separate"/>
      </w:r>
      <w:r>
        <w:t>55</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Opposition to proposed anti-avoidance rule</w:t>
      </w:r>
      <w:r>
        <w:tab/>
      </w:r>
      <w:r>
        <w:fldChar w:fldCharType="begin"/>
      </w:r>
      <w:r>
        <w:instrText xml:space="preserve"> PAGEREF _Toc432411972 \h </w:instrText>
      </w:r>
      <w:r>
        <w:fldChar w:fldCharType="separate"/>
      </w:r>
      <w:r>
        <w:t>55</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Exempting rental property</w:t>
      </w:r>
      <w:r>
        <w:tab/>
      </w:r>
      <w:r>
        <w:fldChar w:fldCharType="begin"/>
      </w:r>
      <w:r>
        <w:instrText xml:space="preserve"> PAGEREF _Toc432411973 \h </w:instrText>
      </w:r>
      <w:r>
        <w:fldChar w:fldCharType="separate"/>
      </w:r>
      <w:r>
        <w:t>56</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Making rules as simple as possible</w:t>
      </w:r>
      <w:r>
        <w:tab/>
      </w:r>
      <w:r>
        <w:fldChar w:fldCharType="begin"/>
      </w:r>
      <w:r>
        <w:instrText xml:space="preserve"> PAGEREF _Toc432411974 \h </w:instrText>
      </w:r>
      <w:r>
        <w:fldChar w:fldCharType="separate"/>
      </w:r>
      <w:r>
        <w:t>56</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Ownership of multiple properties</w:t>
      </w:r>
      <w:r>
        <w:tab/>
      </w:r>
      <w:r>
        <w:fldChar w:fldCharType="begin"/>
      </w:r>
      <w:r>
        <w:instrText xml:space="preserve"> PAGEREF _Toc432411975 \h </w:instrText>
      </w:r>
      <w:r>
        <w:fldChar w:fldCharType="separate"/>
      </w:r>
      <w:r>
        <w:t>57</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International tax implications</w:t>
      </w:r>
      <w:r>
        <w:tab/>
      </w:r>
      <w:r>
        <w:fldChar w:fldCharType="begin"/>
      </w:r>
      <w:r>
        <w:instrText xml:space="preserve"> PAGEREF _Toc432411976 \h </w:instrText>
      </w:r>
      <w:r>
        <w:fldChar w:fldCharType="separate"/>
      </w:r>
      <w:r>
        <w:t>57</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Should allow deductions for shareholder</w:t>
      </w:r>
      <w:r>
        <w:tab/>
      </w:r>
      <w:r>
        <w:fldChar w:fldCharType="begin"/>
      </w:r>
      <w:r>
        <w:instrText xml:space="preserve"> PAGEREF _Toc432411977 \h </w:instrText>
      </w:r>
      <w:r>
        <w:fldChar w:fldCharType="separate"/>
      </w:r>
      <w:r>
        <w:t>58</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Determining value of company or trust assets</w:t>
      </w:r>
      <w:r>
        <w:tab/>
      </w:r>
      <w:r>
        <w:fldChar w:fldCharType="begin"/>
      </w:r>
      <w:r>
        <w:instrText xml:space="preserve"> PAGEREF _Toc432411978 \h </w:instrText>
      </w:r>
      <w:r>
        <w:fldChar w:fldCharType="separate"/>
      </w:r>
      <w:r>
        <w:t>59</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Adjusting cost base of company</w:t>
      </w:r>
      <w:r>
        <w:tab/>
      </w:r>
      <w:r>
        <w:fldChar w:fldCharType="begin"/>
      </w:r>
      <w:r>
        <w:instrText xml:space="preserve"> PAGEREF _Toc432411979 \h </w:instrText>
      </w:r>
      <w:r>
        <w:fldChar w:fldCharType="separate"/>
      </w:r>
      <w:r>
        <w:t>60</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Disposal of all residential land when there is a partial sale of shares</w:t>
      </w:r>
      <w:r>
        <w:tab/>
      </w:r>
      <w:r>
        <w:fldChar w:fldCharType="begin"/>
      </w:r>
      <w:r>
        <w:instrText xml:space="preserve"> PAGEREF _Toc432411980 \h </w:instrText>
      </w:r>
      <w:r>
        <w:fldChar w:fldCharType="separate"/>
      </w:r>
      <w:r>
        <w:t>60</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Arrangement under the trust</w:t>
      </w:r>
      <w:r>
        <w:tab/>
      </w:r>
      <w:r>
        <w:fldChar w:fldCharType="begin"/>
      </w:r>
      <w:r>
        <w:instrText xml:space="preserve"> PAGEREF _Toc432411981 \h </w:instrText>
      </w:r>
      <w:r>
        <w:fldChar w:fldCharType="separate"/>
      </w:r>
      <w:r>
        <w:t>61</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Allowance for land acquired before 1 October 2015</w:t>
      </w:r>
      <w:r>
        <w:tab/>
      </w:r>
      <w:r>
        <w:fldChar w:fldCharType="begin"/>
      </w:r>
      <w:r>
        <w:instrText xml:space="preserve"> PAGEREF _Toc432411982 \h </w:instrText>
      </w:r>
      <w:r>
        <w:fldChar w:fldCharType="separate"/>
      </w:r>
      <w:r>
        <w:t>61</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Clarifying which trustee derives income</w:t>
      </w:r>
      <w:r>
        <w:tab/>
      </w:r>
      <w:r>
        <w:fldChar w:fldCharType="begin"/>
      </w:r>
      <w:r>
        <w:instrText xml:space="preserve"> PAGEREF _Toc432411983 \h </w:instrText>
      </w:r>
      <w:r>
        <w:fldChar w:fldCharType="separate"/>
      </w:r>
      <w:r>
        <w:t>62</w:t>
      </w:r>
      <w:r>
        <w:fldChar w:fldCharType="end"/>
      </w:r>
    </w:p>
    <w:p w:rsidR="00073D78" w:rsidRDefault="00073D78">
      <w:pPr>
        <w:pStyle w:val="TOC2"/>
        <w:rPr>
          <w:rFonts w:asciiTheme="minorHAnsi" w:eastAsiaTheme="minorEastAsia" w:hAnsiTheme="minorHAnsi" w:cstheme="minorBidi"/>
          <w:szCs w:val="22"/>
          <w:lang w:val="en-NZ" w:eastAsia="en-NZ"/>
        </w:rPr>
      </w:pPr>
      <w:r>
        <w:t>Application date</w:t>
      </w:r>
      <w:r>
        <w:tab/>
      </w:r>
      <w:r>
        <w:fldChar w:fldCharType="begin"/>
      </w:r>
      <w:r>
        <w:instrText xml:space="preserve"> PAGEREF _Toc432411984 \h </w:instrText>
      </w:r>
      <w:r>
        <w:fldChar w:fldCharType="separate"/>
      </w:r>
      <w:r>
        <w:t>63</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Clarification on rules for application date</w:t>
      </w:r>
      <w:r>
        <w:tab/>
      </w:r>
      <w:r>
        <w:fldChar w:fldCharType="begin"/>
      </w:r>
      <w:r>
        <w:instrText xml:space="preserve"> PAGEREF _Toc432411985 \h </w:instrText>
      </w:r>
      <w:r>
        <w:fldChar w:fldCharType="separate"/>
      </w:r>
      <w:r>
        <w:t>63</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Application date for loss ring-fencing</w:t>
      </w:r>
      <w:r>
        <w:tab/>
      </w:r>
      <w:r>
        <w:fldChar w:fldCharType="begin"/>
      </w:r>
      <w:r>
        <w:instrText xml:space="preserve"> PAGEREF _Toc432411986 \h </w:instrText>
      </w:r>
      <w:r>
        <w:fldChar w:fldCharType="separate"/>
      </w:r>
      <w:r>
        <w:t>64</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Application date for anti-avoidance provisions</w:t>
      </w:r>
      <w:r>
        <w:tab/>
      </w:r>
      <w:r>
        <w:fldChar w:fldCharType="begin"/>
      </w:r>
      <w:r>
        <w:instrText xml:space="preserve"> PAGEREF _Toc432411987 \h </w:instrText>
      </w:r>
      <w:r>
        <w:fldChar w:fldCharType="separate"/>
      </w:r>
      <w:r>
        <w:t>64</w:t>
      </w:r>
      <w:r>
        <w:fldChar w:fldCharType="end"/>
      </w:r>
    </w:p>
    <w:p w:rsidR="00073D78" w:rsidRDefault="00073D78">
      <w:pPr>
        <w:jc w:val="left"/>
        <w:rPr>
          <w:b/>
          <w:noProof/>
          <w:sz w:val="28"/>
        </w:rPr>
      </w:pPr>
      <w:r>
        <w:br w:type="page"/>
      </w:r>
    </w:p>
    <w:p w:rsidR="00073D78" w:rsidRDefault="00073D78">
      <w:pPr>
        <w:pStyle w:val="TOC1"/>
        <w:rPr>
          <w:rFonts w:asciiTheme="minorHAnsi" w:eastAsiaTheme="minorEastAsia" w:hAnsiTheme="minorHAnsi" w:cstheme="minorBidi"/>
          <w:b w:val="0"/>
          <w:sz w:val="22"/>
          <w:szCs w:val="22"/>
          <w:lang w:val="en-NZ" w:eastAsia="en-NZ"/>
        </w:rPr>
      </w:pPr>
      <w:r w:rsidRPr="00685D2E">
        <w:t>Other policy matters</w:t>
      </w:r>
      <w:r>
        <w:tab/>
      </w:r>
      <w:r>
        <w:fldChar w:fldCharType="begin"/>
      </w:r>
      <w:r>
        <w:instrText xml:space="preserve"> PAGEREF _Toc432411988 \h </w:instrText>
      </w:r>
      <w:r>
        <w:fldChar w:fldCharType="separate"/>
      </w:r>
      <w:r>
        <w:t>65</w:t>
      </w:r>
      <w:r>
        <w:fldChar w:fldCharType="end"/>
      </w:r>
    </w:p>
    <w:p w:rsidR="00073D78" w:rsidRDefault="00073D78">
      <w:pPr>
        <w:pStyle w:val="TOC2"/>
        <w:rPr>
          <w:rFonts w:asciiTheme="minorHAnsi" w:eastAsiaTheme="minorEastAsia" w:hAnsiTheme="minorHAnsi" w:cstheme="minorBidi"/>
          <w:szCs w:val="22"/>
          <w:lang w:val="en-NZ" w:eastAsia="en-NZ"/>
        </w:rPr>
      </w:pPr>
      <w:r>
        <w:t>Trust filing exception</w:t>
      </w:r>
      <w:r>
        <w:tab/>
      </w:r>
      <w:r>
        <w:fldChar w:fldCharType="begin"/>
      </w:r>
      <w:r>
        <w:instrText xml:space="preserve"> PAGEREF _Toc432411989 \h </w:instrText>
      </w:r>
      <w:r>
        <w:fldChar w:fldCharType="separate"/>
      </w:r>
      <w:r>
        <w:t>67</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Support for proposal</w:t>
      </w:r>
      <w:r>
        <w:tab/>
      </w:r>
      <w:r>
        <w:fldChar w:fldCharType="begin"/>
      </w:r>
      <w:r>
        <w:instrText xml:space="preserve"> PAGEREF _Toc432411990 \h </w:instrText>
      </w:r>
      <w:r>
        <w:fldChar w:fldCharType="separate"/>
      </w:r>
      <w:r>
        <w:t>67</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Minimal income and expenditure</w:t>
      </w:r>
      <w:r>
        <w:tab/>
      </w:r>
      <w:r>
        <w:fldChar w:fldCharType="begin"/>
      </w:r>
      <w:r>
        <w:instrText xml:space="preserve"> PAGEREF _Toc432411991 \h </w:instrText>
      </w:r>
      <w:r>
        <w:fldChar w:fldCharType="separate"/>
      </w:r>
      <w:r>
        <w:t>67</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Non-active entity</w:t>
      </w:r>
      <w:r>
        <w:tab/>
      </w:r>
      <w:r>
        <w:fldChar w:fldCharType="begin"/>
      </w:r>
      <w:r>
        <w:instrText xml:space="preserve"> PAGEREF _Toc432411992 \h </w:instrText>
      </w:r>
      <w:r>
        <w:fldChar w:fldCharType="separate"/>
      </w:r>
      <w:r>
        <w:t>68</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Limiting expenditure requirement to expenditure that is deductible</w:t>
      </w:r>
      <w:r>
        <w:tab/>
      </w:r>
      <w:r>
        <w:fldChar w:fldCharType="begin"/>
      </w:r>
      <w:r>
        <w:instrText xml:space="preserve"> PAGEREF _Toc432411993 \h </w:instrText>
      </w:r>
      <w:r>
        <w:fldChar w:fldCharType="separate"/>
      </w:r>
      <w:r>
        <w:t>68</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Inland Revenue should provide guidance</w:t>
      </w:r>
      <w:r>
        <w:tab/>
      </w:r>
      <w:r>
        <w:fldChar w:fldCharType="begin"/>
      </w:r>
      <w:r>
        <w:instrText xml:space="preserve"> PAGEREF _Toc432411994 \h </w:instrText>
      </w:r>
      <w:r>
        <w:fldChar w:fldCharType="separate"/>
      </w:r>
      <w:r>
        <w:t>69</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Net filing income threshold for individuals</w:t>
      </w:r>
      <w:r>
        <w:tab/>
      </w:r>
      <w:r>
        <w:fldChar w:fldCharType="begin"/>
      </w:r>
      <w:r>
        <w:instrText xml:space="preserve"> PAGEREF _Toc432411995 \h </w:instrText>
      </w:r>
      <w:r>
        <w:fldChar w:fldCharType="separate"/>
      </w:r>
      <w:r>
        <w:t>69</w:t>
      </w:r>
      <w:r>
        <w:fldChar w:fldCharType="end"/>
      </w:r>
    </w:p>
    <w:p w:rsidR="00073D78" w:rsidRDefault="00073D78">
      <w:pPr>
        <w:pStyle w:val="TOC3"/>
        <w:rPr>
          <w:rFonts w:asciiTheme="minorHAnsi" w:eastAsiaTheme="minorEastAsia" w:hAnsiTheme="minorHAnsi" w:cstheme="minorBidi"/>
          <w:sz w:val="22"/>
          <w:szCs w:val="22"/>
          <w:lang w:val="en-NZ" w:eastAsia="en-NZ"/>
        </w:rPr>
      </w:pPr>
      <w:r w:rsidRPr="00685D2E">
        <w:rPr>
          <w:lang w:val="en-NZ"/>
        </w:rPr>
        <w:t>Issue:</w:t>
      </w:r>
      <w:r>
        <w:rPr>
          <w:rFonts w:asciiTheme="minorHAnsi" w:eastAsiaTheme="minorEastAsia" w:hAnsiTheme="minorHAnsi" w:cstheme="minorBidi"/>
          <w:sz w:val="22"/>
          <w:szCs w:val="22"/>
          <w:lang w:val="en-NZ" w:eastAsia="en-NZ"/>
        </w:rPr>
        <w:tab/>
      </w:r>
      <w:r w:rsidRPr="00685D2E">
        <w:rPr>
          <w:lang w:val="en-NZ"/>
        </w:rPr>
        <w:t>Defining “professional trustee”</w:t>
      </w:r>
      <w:r>
        <w:tab/>
      </w:r>
      <w:r>
        <w:fldChar w:fldCharType="begin"/>
      </w:r>
      <w:r>
        <w:instrText xml:space="preserve"> PAGEREF _Toc432411996 \h </w:instrText>
      </w:r>
      <w:r>
        <w:fldChar w:fldCharType="separate"/>
      </w:r>
      <w:r>
        <w:t>70</w:t>
      </w:r>
      <w:r>
        <w:fldChar w:fldCharType="end"/>
      </w:r>
    </w:p>
    <w:p w:rsidR="00073D78" w:rsidRDefault="00073D78">
      <w:pPr>
        <w:pStyle w:val="TOC1"/>
        <w:rPr>
          <w:rFonts w:asciiTheme="minorHAnsi" w:eastAsiaTheme="minorEastAsia" w:hAnsiTheme="minorHAnsi" w:cstheme="minorBidi"/>
          <w:b w:val="0"/>
          <w:sz w:val="22"/>
          <w:szCs w:val="22"/>
          <w:lang w:val="en-NZ" w:eastAsia="en-NZ"/>
        </w:rPr>
      </w:pPr>
      <w:r w:rsidRPr="00685D2E">
        <w:t>Remedial amendments</w:t>
      </w:r>
      <w:r>
        <w:tab/>
      </w:r>
      <w:r>
        <w:fldChar w:fldCharType="begin"/>
      </w:r>
      <w:r>
        <w:instrText xml:space="preserve"> PAGEREF _Toc432411997 \h </w:instrText>
      </w:r>
      <w:r>
        <w:fldChar w:fldCharType="separate"/>
      </w:r>
      <w:r>
        <w:t>71</w:t>
      </w:r>
      <w:r>
        <w:fldChar w:fldCharType="end"/>
      </w:r>
    </w:p>
    <w:p w:rsidR="00073D78" w:rsidRDefault="00073D78">
      <w:pPr>
        <w:pStyle w:val="TOC2"/>
        <w:rPr>
          <w:rFonts w:asciiTheme="minorHAnsi" w:eastAsiaTheme="minorEastAsia" w:hAnsiTheme="minorHAnsi" w:cstheme="minorBidi"/>
          <w:szCs w:val="22"/>
          <w:lang w:val="en-NZ" w:eastAsia="en-NZ"/>
        </w:rPr>
      </w:pPr>
      <w:r>
        <w:t>Amalgamations – Reference to amalgamating and amalgamated companies</w:t>
      </w:r>
      <w:r>
        <w:tab/>
      </w:r>
      <w:r>
        <w:fldChar w:fldCharType="begin"/>
      </w:r>
      <w:r>
        <w:instrText xml:space="preserve"> PAGEREF _Toc432411998 \h </w:instrText>
      </w:r>
      <w:r>
        <w:fldChar w:fldCharType="separate"/>
      </w:r>
      <w:r>
        <w:t>73</w:t>
      </w:r>
      <w:r>
        <w:fldChar w:fldCharType="end"/>
      </w:r>
    </w:p>
    <w:p w:rsidR="00073D78" w:rsidRDefault="00073D78">
      <w:pPr>
        <w:pStyle w:val="TOC1"/>
        <w:rPr>
          <w:rFonts w:asciiTheme="minorHAnsi" w:eastAsiaTheme="minorEastAsia" w:hAnsiTheme="minorHAnsi" w:cstheme="minorBidi"/>
          <w:b w:val="0"/>
          <w:sz w:val="22"/>
          <w:szCs w:val="22"/>
          <w:lang w:val="en-NZ" w:eastAsia="en-NZ"/>
        </w:rPr>
      </w:pPr>
      <w:r w:rsidRPr="00685D2E">
        <w:t>Matters raised by the Committee</w:t>
      </w:r>
      <w:r>
        <w:tab/>
      </w:r>
      <w:r>
        <w:fldChar w:fldCharType="begin"/>
      </w:r>
      <w:r>
        <w:instrText xml:space="preserve"> PAGEREF _Toc432411999 \h </w:instrText>
      </w:r>
      <w:r>
        <w:fldChar w:fldCharType="separate"/>
      </w:r>
      <w:r>
        <w:t>75</w:t>
      </w:r>
      <w:r>
        <w:fldChar w:fldCharType="end"/>
      </w:r>
    </w:p>
    <w:p w:rsidR="00073D78" w:rsidRDefault="00073D78">
      <w:pPr>
        <w:pStyle w:val="TOC2"/>
        <w:rPr>
          <w:rFonts w:asciiTheme="minorHAnsi" w:eastAsiaTheme="minorEastAsia" w:hAnsiTheme="minorHAnsi" w:cstheme="minorBidi"/>
          <w:szCs w:val="22"/>
          <w:lang w:val="en-NZ" w:eastAsia="en-NZ"/>
        </w:rPr>
      </w:pPr>
      <w:r>
        <w:t>Example scenarios</w:t>
      </w:r>
      <w:r>
        <w:tab/>
      </w:r>
      <w:r>
        <w:fldChar w:fldCharType="begin"/>
      </w:r>
      <w:r>
        <w:instrText xml:space="preserve"> PAGEREF _Toc432412000 \h </w:instrText>
      </w:r>
      <w:r>
        <w:fldChar w:fldCharType="separate"/>
      </w:r>
      <w:r>
        <w:t>77</w:t>
      </w:r>
      <w:r>
        <w:fldChar w:fldCharType="end"/>
      </w:r>
    </w:p>
    <w:p w:rsidR="00073D78" w:rsidRDefault="00073D78">
      <w:pPr>
        <w:pStyle w:val="TOC2"/>
        <w:rPr>
          <w:rFonts w:asciiTheme="minorHAnsi" w:eastAsiaTheme="minorEastAsia" w:hAnsiTheme="minorHAnsi" w:cstheme="minorBidi"/>
          <w:szCs w:val="22"/>
          <w:lang w:val="en-NZ" w:eastAsia="en-NZ"/>
        </w:rPr>
      </w:pPr>
      <w:r>
        <w:t>Inheritance</w:t>
      </w:r>
      <w:r>
        <w:tab/>
      </w:r>
      <w:r>
        <w:fldChar w:fldCharType="begin"/>
      </w:r>
      <w:r>
        <w:instrText xml:space="preserve"> PAGEREF _Toc432412001 \h </w:instrText>
      </w:r>
      <w:r>
        <w:fldChar w:fldCharType="separate"/>
      </w:r>
      <w:r>
        <w:t>88</w:t>
      </w:r>
      <w:r>
        <w:fldChar w:fldCharType="end"/>
      </w:r>
    </w:p>
    <w:p w:rsidR="00073D78" w:rsidRDefault="00073D78">
      <w:pPr>
        <w:pStyle w:val="TOC2"/>
        <w:rPr>
          <w:rFonts w:asciiTheme="minorHAnsi" w:eastAsiaTheme="minorEastAsia" w:hAnsiTheme="minorHAnsi" w:cstheme="minorBidi"/>
          <w:szCs w:val="22"/>
          <w:lang w:val="en-NZ" w:eastAsia="en-NZ"/>
        </w:rPr>
      </w:pPr>
      <w:r>
        <w:t>Changes to the intention test</w:t>
      </w:r>
      <w:r>
        <w:tab/>
      </w:r>
      <w:r>
        <w:fldChar w:fldCharType="begin"/>
      </w:r>
      <w:r>
        <w:instrText xml:space="preserve"> PAGEREF _Toc432412002 \h </w:instrText>
      </w:r>
      <w:r>
        <w:fldChar w:fldCharType="separate"/>
      </w:r>
      <w:r>
        <w:t>90</w:t>
      </w:r>
      <w:r>
        <w:fldChar w:fldCharType="end"/>
      </w:r>
    </w:p>
    <w:p w:rsidR="00412BF4" w:rsidRDefault="007F7F27" w:rsidP="00536A68">
      <w:pPr>
        <w:pStyle w:val="BodyText"/>
        <w:tabs>
          <w:tab w:val="right" w:pos="8222"/>
        </w:tabs>
        <w:ind w:left="851" w:hanging="851"/>
        <w:jc w:val="left"/>
        <w:rPr>
          <w:sz w:val="20"/>
          <w:lang w:val="en-NZ"/>
        </w:rPr>
      </w:pPr>
      <w:r w:rsidRPr="00DB4CC5">
        <w:rPr>
          <w:sz w:val="20"/>
          <w:lang w:val="en-NZ"/>
        </w:rPr>
        <w:fldChar w:fldCharType="end"/>
      </w:r>
    </w:p>
    <w:p w:rsidR="00412BF4" w:rsidRDefault="00412BF4">
      <w:pPr>
        <w:jc w:val="left"/>
        <w:rPr>
          <w:sz w:val="20"/>
          <w:lang w:val="en-NZ"/>
        </w:rPr>
      </w:pPr>
      <w:r>
        <w:rPr>
          <w:sz w:val="20"/>
          <w:lang w:val="en-NZ"/>
        </w:rPr>
        <w:br w:type="page"/>
      </w:r>
    </w:p>
    <w:p w:rsidR="007F7F27" w:rsidRDefault="007F7F27" w:rsidP="00536A68">
      <w:pPr>
        <w:pStyle w:val="BodyText"/>
        <w:tabs>
          <w:tab w:val="right" w:pos="8222"/>
        </w:tabs>
        <w:ind w:left="851" w:hanging="851"/>
        <w:jc w:val="left"/>
        <w:rPr>
          <w:sz w:val="20"/>
          <w:lang w:val="en-NZ"/>
        </w:rPr>
      </w:pPr>
    </w:p>
    <w:p w:rsidR="00CD6CCB" w:rsidRPr="00CD6CCB" w:rsidRDefault="00CD6CCB" w:rsidP="00536A68">
      <w:pPr>
        <w:pStyle w:val="BodyText"/>
        <w:tabs>
          <w:tab w:val="right" w:pos="8222"/>
        </w:tabs>
        <w:ind w:left="851" w:hanging="851"/>
        <w:jc w:val="left"/>
        <w:rPr>
          <w:b/>
          <w:noProof/>
          <w:sz w:val="28"/>
          <w:lang w:val="en-NZ"/>
        </w:rPr>
        <w:sectPr w:rsidR="00CD6CCB" w:rsidRPr="00CD6CCB" w:rsidSect="00AD47EB">
          <w:footerReference w:type="even" r:id="rId10"/>
          <w:footerReference w:type="default" r:id="rId11"/>
          <w:footerReference w:type="first" r:id="rId12"/>
          <w:pgSz w:w="11906" w:h="16838" w:code="9"/>
          <w:pgMar w:top="1304" w:right="1797" w:bottom="1134" w:left="1797" w:header="720" w:footer="567" w:gutter="0"/>
          <w:cols w:space="720"/>
          <w:titlePg/>
        </w:sectPr>
      </w:pPr>
    </w:p>
    <w:p w:rsidR="00490891" w:rsidRPr="00DB4CC5" w:rsidRDefault="00490891" w:rsidP="00536A68">
      <w:pPr>
        <w:pStyle w:val="Heading1"/>
        <w:pBdr>
          <w:bottom w:val="none" w:sz="0" w:space="0" w:color="auto"/>
        </w:pBdr>
        <w:jc w:val="center"/>
        <w:rPr>
          <w:b w:val="0"/>
          <w:sz w:val="52"/>
        </w:rPr>
      </w:pPr>
    </w:p>
    <w:p w:rsidR="00490891" w:rsidRPr="00DB4CC5" w:rsidRDefault="00490891" w:rsidP="001D34A6">
      <w:pPr>
        <w:jc w:val="center"/>
        <w:rPr>
          <w:sz w:val="52"/>
          <w:lang w:val="en-NZ"/>
        </w:rPr>
      </w:pPr>
    </w:p>
    <w:p w:rsidR="00490891" w:rsidRPr="00DB4CC5" w:rsidRDefault="00490891" w:rsidP="00536A68">
      <w:pPr>
        <w:pStyle w:val="Heading1"/>
        <w:pBdr>
          <w:bottom w:val="none" w:sz="0" w:space="0" w:color="auto"/>
        </w:pBdr>
        <w:jc w:val="center"/>
        <w:rPr>
          <w:b w:val="0"/>
          <w:sz w:val="52"/>
        </w:rPr>
      </w:pPr>
    </w:p>
    <w:p w:rsidR="00490891" w:rsidRPr="00DB4CC5" w:rsidRDefault="00490891" w:rsidP="00536A68">
      <w:pPr>
        <w:pStyle w:val="Heading1"/>
        <w:pBdr>
          <w:bottom w:val="none" w:sz="0" w:space="0" w:color="auto"/>
        </w:pBdr>
        <w:jc w:val="center"/>
        <w:rPr>
          <w:b w:val="0"/>
          <w:sz w:val="52"/>
        </w:rPr>
      </w:pPr>
    </w:p>
    <w:p w:rsidR="00490891" w:rsidRPr="00DB4CC5" w:rsidRDefault="00490891" w:rsidP="00536A68">
      <w:pPr>
        <w:jc w:val="center"/>
        <w:rPr>
          <w:sz w:val="52"/>
          <w:lang w:val="en-NZ"/>
        </w:rPr>
      </w:pPr>
    </w:p>
    <w:p w:rsidR="00490891" w:rsidRPr="00DB4CC5" w:rsidRDefault="00490891" w:rsidP="00536A68">
      <w:pPr>
        <w:jc w:val="center"/>
        <w:rPr>
          <w:sz w:val="52"/>
          <w:lang w:val="en-NZ"/>
        </w:rPr>
      </w:pPr>
    </w:p>
    <w:p w:rsidR="00490891" w:rsidRPr="00DB4CC5" w:rsidRDefault="00D95FF8" w:rsidP="00536A68">
      <w:pPr>
        <w:pStyle w:val="PartHeading"/>
        <w:pBdr>
          <w:top w:val="single" w:sz="4" w:space="10" w:color="auto"/>
          <w:bottom w:val="single" w:sz="4" w:space="10" w:color="auto"/>
        </w:pBdr>
        <w:spacing w:after="200"/>
      </w:pPr>
      <w:bookmarkStart w:id="2" w:name="_Toc432411890"/>
      <w:r>
        <w:rPr>
          <w:caps w:val="0"/>
        </w:rPr>
        <w:t>Bright-line test</w:t>
      </w:r>
      <w:bookmarkEnd w:id="2"/>
    </w:p>
    <w:p w:rsidR="00412BF4" w:rsidRDefault="00412BF4">
      <w:pPr>
        <w:jc w:val="left"/>
        <w:rPr>
          <w:caps/>
          <w:sz w:val="60"/>
          <w:lang w:val="en-NZ"/>
        </w:rPr>
      </w:pPr>
      <w:r>
        <w:br w:type="page"/>
      </w:r>
    </w:p>
    <w:p w:rsidR="00490891" w:rsidRPr="00DB4CC5" w:rsidRDefault="00490891" w:rsidP="00536A68">
      <w:pPr>
        <w:pStyle w:val="PartHeading"/>
        <w:pBdr>
          <w:top w:val="none" w:sz="0" w:space="0" w:color="auto"/>
          <w:bottom w:val="none" w:sz="0" w:space="0" w:color="auto"/>
        </w:pBdr>
      </w:pPr>
    </w:p>
    <w:p w:rsidR="00490891" w:rsidRPr="00DB4CC5" w:rsidRDefault="00490891" w:rsidP="00536A68">
      <w:pPr>
        <w:pStyle w:val="PartHeading"/>
        <w:pBdr>
          <w:top w:val="none" w:sz="0" w:space="0" w:color="auto"/>
          <w:bottom w:val="none" w:sz="0" w:space="0" w:color="auto"/>
        </w:pBdr>
        <w:sectPr w:rsidR="00490891" w:rsidRPr="00DB4CC5" w:rsidSect="00AD47EB">
          <w:footerReference w:type="even" r:id="rId13"/>
          <w:footerReference w:type="default" r:id="rId14"/>
          <w:footerReference w:type="first" r:id="rId15"/>
          <w:type w:val="oddPage"/>
          <w:pgSz w:w="11906" w:h="16838" w:code="9"/>
          <w:pgMar w:top="1304" w:right="1797" w:bottom="1134" w:left="1797" w:header="720" w:footer="567" w:gutter="0"/>
          <w:pgNumType w:start="1"/>
          <w:cols w:space="720"/>
          <w:titlePg/>
        </w:sectPr>
      </w:pPr>
    </w:p>
    <w:p w:rsidR="00B97F56" w:rsidRPr="00DB4CC5" w:rsidRDefault="00034E14" w:rsidP="00536A68">
      <w:pPr>
        <w:pStyle w:val="Heading1"/>
      </w:pPr>
      <w:bookmarkStart w:id="3" w:name="_Toc432411891"/>
      <w:r w:rsidRPr="00DB4CC5">
        <w:t>Overview</w:t>
      </w:r>
      <w:bookmarkEnd w:id="3"/>
    </w:p>
    <w:p w:rsidR="00B97F56" w:rsidRPr="001D34A6" w:rsidRDefault="00B97F56" w:rsidP="00536A68">
      <w:pPr>
        <w:rPr>
          <w:szCs w:val="24"/>
          <w:lang w:val="en-NZ"/>
        </w:rPr>
      </w:pPr>
    </w:p>
    <w:p w:rsidR="00B97F56" w:rsidRDefault="0045659A" w:rsidP="00536A68">
      <w:pPr>
        <w:rPr>
          <w:szCs w:val="24"/>
          <w:lang w:val="en-NZ"/>
        </w:rPr>
      </w:pPr>
      <w:r>
        <w:rPr>
          <w:szCs w:val="24"/>
          <w:lang w:val="en-NZ"/>
        </w:rPr>
        <w:t>The Taxation (Bright-line Test for Residential Land) Bill proposes a new objective “bright-line” test for disposals of residential land</w:t>
      </w:r>
      <w:r w:rsidR="00F16E3E">
        <w:rPr>
          <w:szCs w:val="24"/>
          <w:lang w:val="en-NZ"/>
        </w:rPr>
        <w:t>.  T</w:t>
      </w:r>
      <w:r>
        <w:rPr>
          <w:szCs w:val="24"/>
          <w:lang w:val="en-NZ"/>
        </w:rPr>
        <w:t xml:space="preserve">he bright-line test will require income tax to be paid on any gains from residential property that is disposed of within </w:t>
      </w:r>
      <w:r w:rsidR="004478CF">
        <w:rPr>
          <w:szCs w:val="24"/>
          <w:lang w:val="en-NZ"/>
        </w:rPr>
        <w:t>two</w:t>
      </w:r>
      <w:r>
        <w:rPr>
          <w:szCs w:val="24"/>
          <w:lang w:val="en-NZ"/>
        </w:rPr>
        <w:t xml:space="preserve"> years of acquisition, subject to some exceptions</w:t>
      </w:r>
      <w:r w:rsidR="00F16E3E">
        <w:rPr>
          <w:szCs w:val="24"/>
          <w:lang w:val="en-NZ"/>
        </w:rPr>
        <w:t>.  T</w:t>
      </w:r>
      <w:r>
        <w:rPr>
          <w:szCs w:val="24"/>
          <w:lang w:val="en-NZ"/>
        </w:rPr>
        <w:t>his measure was announced as part of Budget 2015.</w:t>
      </w:r>
    </w:p>
    <w:p w:rsidR="0045659A" w:rsidRDefault="0045659A" w:rsidP="00536A68">
      <w:pPr>
        <w:rPr>
          <w:szCs w:val="24"/>
          <w:lang w:val="en-NZ"/>
        </w:rPr>
      </w:pPr>
    </w:p>
    <w:p w:rsidR="0045659A" w:rsidRDefault="00D8382B" w:rsidP="00536A68">
      <w:pPr>
        <w:rPr>
          <w:szCs w:val="24"/>
          <w:lang w:val="en-NZ"/>
        </w:rPr>
      </w:pPr>
      <w:r>
        <w:rPr>
          <w:szCs w:val="24"/>
          <w:lang w:val="en-NZ"/>
        </w:rPr>
        <w:t>The primary goal of the bright-line test is to create an easy to enforce rule</w:t>
      </w:r>
      <w:r w:rsidR="0045659A">
        <w:rPr>
          <w:szCs w:val="24"/>
          <w:lang w:val="en-NZ"/>
        </w:rPr>
        <w:t xml:space="preserve"> to supplement the “intention” test in the current land sale rules</w:t>
      </w:r>
      <w:r w:rsidR="00F16E3E">
        <w:rPr>
          <w:szCs w:val="24"/>
          <w:lang w:val="en-NZ"/>
        </w:rPr>
        <w:t>.  T</w:t>
      </w:r>
      <w:r w:rsidR="0045659A">
        <w:rPr>
          <w:szCs w:val="24"/>
          <w:lang w:val="en-NZ"/>
        </w:rPr>
        <w:t>he intention test is difficult to enforce due to its subjectivity</w:t>
      </w:r>
      <w:r w:rsidR="00F16E3E">
        <w:rPr>
          <w:szCs w:val="24"/>
          <w:lang w:val="en-NZ"/>
        </w:rPr>
        <w:t>.  T</w:t>
      </w:r>
      <w:r w:rsidR="0045659A">
        <w:rPr>
          <w:szCs w:val="24"/>
          <w:lang w:val="en-NZ"/>
        </w:rPr>
        <w:t>he bright-line test is intended to supplement the intention test with an objective test.</w:t>
      </w:r>
    </w:p>
    <w:p w:rsidR="0045659A" w:rsidRDefault="0045659A" w:rsidP="00536A68">
      <w:pPr>
        <w:rPr>
          <w:szCs w:val="24"/>
          <w:lang w:val="en-NZ"/>
        </w:rPr>
      </w:pPr>
    </w:p>
    <w:p w:rsidR="00F80A3E" w:rsidRDefault="00F80A3E" w:rsidP="00536A68">
      <w:pPr>
        <w:rPr>
          <w:szCs w:val="24"/>
          <w:lang w:val="en-NZ"/>
        </w:rPr>
      </w:pPr>
    </w:p>
    <w:p w:rsidR="0045659A" w:rsidRDefault="0045659A" w:rsidP="00F80A3E">
      <w:pPr>
        <w:pStyle w:val="Heading2"/>
        <w:rPr>
          <w:lang w:val="en-NZ"/>
        </w:rPr>
      </w:pPr>
      <w:r w:rsidRPr="0045659A">
        <w:rPr>
          <w:lang w:val="en-NZ"/>
        </w:rPr>
        <w:t>Matters raised in submissions</w:t>
      </w:r>
    </w:p>
    <w:p w:rsidR="0045659A" w:rsidRPr="00F80A3E" w:rsidRDefault="0045659A" w:rsidP="00536A68">
      <w:pPr>
        <w:rPr>
          <w:szCs w:val="24"/>
          <w:lang w:val="en-NZ"/>
        </w:rPr>
      </w:pPr>
    </w:p>
    <w:p w:rsidR="0045659A" w:rsidRDefault="004478CF" w:rsidP="00536A68">
      <w:pPr>
        <w:rPr>
          <w:szCs w:val="24"/>
          <w:lang w:val="en-NZ"/>
        </w:rPr>
      </w:pPr>
      <w:r>
        <w:rPr>
          <w:szCs w:val="24"/>
          <w:lang w:val="en-NZ"/>
        </w:rPr>
        <w:t>Ten</w:t>
      </w:r>
      <w:r w:rsidR="0045659A">
        <w:rPr>
          <w:szCs w:val="24"/>
          <w:lang w:val="en-NZ"/>
        </w:rPr>
        <w:t xml:space="preserve"> submissions were made on the bill.</w:t>
      </w:r>
    </w:p>
    <w:p w:rsidR="0045659A" w:rsidRDefault="0045659A" w:rsidP="00536A68">
      <w:pPr>
        <w:rPr>
          <w:szCs w:val="24"/>
          <w:lang w:val="en-NZ"/>
        </w:rPr>
      </w:pPr>
    </w:p>
    <w:p w:rsidR="0045659A" w:rsidRDefault="004478CF" w:rsidP="00536A68">
      <w:pPr>
        <w:rPr>
          <w:i/>
          <w:szCs w:val="24"/>
          <w:lang w:val="en-NZ"/>
        </w:rPr>
      </w:pPr>
      <w:r>
        <w:rPr>
          <w:szCs w:val="24"/>
          <w:lang w:val="en-NZ"/>
        </w:rPr>
        <w:t>Two</w:t>
      </w:r>
      <w:r w:rsidR="0045659A">
        <w:rPr>
          <w:szCs w:val="24"/>
          <w:lang w:val="en-NZ"/>
        </w:rPr>
        <w:t xml:space="preserve"> submissions </w:t>
      </w:r>
      <w:r w:rsidR="008004DD">
        <w:rPr>
          <w:szCs w:val="24"/>
          <w:lang w:val="en-NZ"/>
        </w:rPr>
        <w:t xml:space="preserve">supported the bright-line test and </w:t>
      </w:r>
      <w:r>
        <w:rPr>
          <w:szCs w:val="24"/>
          <w:lang w:val="en-NZ"/>
        </w:rPr>
        <w:t>four</w:t>
      </w:r>
      <w:r w:rsidR="008004DD">
        <w:rPr>
          <w:szCs w:val="24"/>
          <w:lang w:val="en-NZ"/>
        </w:rPr>
        <w:t xml:space="preserve"> did not support it</w:t>
      </w:r>
      <w:r w:rsidR="00F16E3E">
        <w:rPr>
          <w:szCs w:val="24"/>
          <w:lang w:val="en-NZ"/>
        </w:rPr>
        <w:t>.  S</w:t>
      </w:r>
      <w:r w:rsidR="008004DD">
        <w:rPr>
          <w:szCs w:val="24"/>
          <w:lang w:val="en-NZ"/>
        </w:rPr>
        <w:t xml:space="preserve">ubmissions in favour of the bright-line test submitted that </w:t>
      </w:r>
      <w:r w:rsidR="008004DD" w:rsidRPr="00A0560D">
        <w:rPr>
          <w:szCs w:val="24"/>
          <w:lang w:val="en-NZ"/>
        </w:rPr>
        <w:t>the bright-line test appeared to be a reasonable addition to the current intention test</w:t>
      </w:r>
      <w:r w:rsidR="001D49FE">
        <w:rPr>
          <w:szCs w:val="24"/>
          <w:lang w:val="en-NZ"/>
        </w:rPr>
        <w:t>,</w:t>
      </w:r>
      <w:r w:rsidR="008004DD" w:rsidRPr="00A0560D">
        <w:rPr>
          <w:szCs w:val="24"/>
          <w:lang w:val="en-NZ"/>
        </w:rPr>
        <w:t xml:space="preserve"> to ensure that property investors declare the income they are required to</w:t>
      </w:r>
      <w:r w:rsidR="00F16E3E">
        <w:rPr>
          <w:szCs w:val="24"/>
          <w:lang w:val="en-NZ"/>
        </w:rPr>
        <w:t>.  S</w:t>
      </w:r>
      <w:r w:rsidR="008004DD">
        <w:rPr>
          <w:szCs w:val="24"/>
          <w:lang w:val="en-NZ"/>
        </w:rPr>
        <w:t xml:space="preserve">ubmitters who did not support the bright-line test </w:t>
      </w:r>
      <w:r w:rsidR="008004DD" w:rsidRPr="00A0560D">
        <w:rPr>
          <w:szCs w:val="24"/>
          <w:lang w:val="en-NZ"/>
        </w:rPr>
        <w:t>believed the test to be unprincipled and likely to apply only to persons who are forced to sell due to circumstances outside of their control.</w:t>
      </w:r>
    </w:p>
    <w:p w:rsidR="008004DD" w:rsidRPr="00F45904" w:rsidRDefault="008004DD" w:rsidP="00536A68">
      <w:pPr>
        <w:rPr>
          <w:szCs w:val="24"/>
          <w:lang w:val="en-NZ"/>
        </w:rPr>
      </w:pPr>
    </w:p>
    <w:p w:rsidR="00BF63B8" w:rsidRPr="00A0560D" w:rsidRDefault="008004DD" w:rsidP="00536A68">
      <w:pPr>
        <w:rPr>
          <w:szCs w:val="24"/>
          <w:lang w:val="en-NZ"/>
        </w:rPr>
      </w:pPr>
      <w:r w:rsidRPr="00A0560D">
        <w:rPr>
          <w:szCs w:val="24"/>
          <w:lang w:val="en-NZ"/>
        </w:rPr>
        <w:t>A number of submissions were received on the technical detail of the proposed design of the bright-line test.</w:t>
      </w:r>
    </w:p>
    <w:p w:rsidR="00BF63B8" w:rsidRPr="00F45904" w:rsidRDefault="00BF63B8" w:rsidP="00536A68">
      <w:pPr>
        <w:rPr>
          <w:szCs w:val="24"/>
          <w:lang w:val="en-NZ"/>
        </w:rPr>
      </w:pPr>
    </w:p>
    <w:p w:rsidR="008004DD" w:rsidRDefault="00A0560D" w:rsidP="00536A68">
      <w:pPr>
        <w:rPr>
          <w:szCs w:val="24"/>
          <w:lang w:val="en-NZ"/>
        </w:rPr>
      </w:pPr>
      <w:r>
        <w:rPr>
          <w:szCs w:val="24"/>
          <w:lang w:val="en-NZ"/>
        </w:rPr>
        <w:t xml:space="preserve">There were </w:t>
      </w:r>
      <w:r w:rsidR="002B43E0">
        <w:rPr>
          <w:szCs w:val="24"/>
          <w:lang w:val="en-NZ"/>
        </w:rPr>
        <w:t>five</w:t>
      </w:r>
      <w:r>
        <w:rPr>
          <w:szCs w:val="24"/>
          <w:lang w:val="en-NZ"/>
        </w:rPr>
        <w:t xml:space="preserve"> main areas of concern raised by submitters</w:t>
      </w:r>
      <w:r w:rsidR="00F16E3E">
        <w:rPr>
          <w:szCs w:val="24"/>
          <w:lang w:val="en-NZ"/>
        </w:rPr>
        <w:t>.  T</w:t>
      </w:r>
      <w:r>
        <w:rPr>
          <w:szCs w:val="24"/>
          <w:lang w:val="en-NZ"/>
        </w:rPr>
        <w:t>hese were:</w:t>
      </w:r>
    </w:p>
    <w:p w:rsidR="00684430" w:rsidRPr="00A0560D" w:rsidRDefault="00684430" w:rsidP="00536A68">
      <w:pPr>
        <w:rPr>
          <w:szCs w:val="24"/>
          <w:lang w:val="en-NZ"/>
        </w:rPr>
      </w:pPr>
    </w:p>
    <w:p w:rsidR="002B43E0" w:rsidRDefault="000E57CA" w:rsidP="002F1000">
      <w:pPr>
        <w:pStyle w:val="Bullets"/>
        <w:tabs>
          <w:tab w:val="clear" w:pos="851"/>
          <w:tab w:val="num" w:pos="567"/>
        </w:tabs>
        <w:spacing w:after="140"/>
        <w:ind w:left="567" w:hanging="567"/>
      </w:pPr>
      <w:r>
        <w:t>t</w:t>
      </w:r>
      <w:r w:rsidR="008004DD" w:rsidRPr="00A0560D">
        <w:t>he start date for the bright-line period</w:t>
      </w:r>
      <w:r>
        <w:t>;</w:t>
      </w:r>
    </w:p>
    <w:p w:rsidR="009C4262" w:rsidRPr="009C4262" w:rsidRDefault="009C4262" w:rsidP="002F1000">
      <w:pPr>
        <w:pStyle w:val="Bullets"/>
        <w:tabs>
          <w:tab w:val="clear" w:pos="851"/>
          <w:tab w:val="num" w:pos="567"/>
        </w:tabs>
        <w:spacing w:after="140"/>
        <w:ind w:left="567" w:hanging="567"/>
      </w:pPr>
      <w:r>
        <w:t>a</w:t>
      </w:r>
      <w:r w:rsidRPr="00A0560D">
        <w:t>dditional exceptions to the bright-line</w:t>
      </w:r>
      <w:r>
        <w:t>;</w:t>
      </w:r>
    </w:p>
    <w:p w:rsidR="002F340E" w:rsidRDefault="009C4262" w:rsidP="002F1000">
      <w:pPr>
        <w:pStyle w:val="Bullets"/>
        <w:tabs>
          <w:tab w:val="clear" w:pos="851"/>
          <w:tab w:val="num" w:pos="567"/>
        </w:tabs>
        <w:spacing w:after="140"/>
        <w:ind w:left="567" w:hanging="567"/>
      </w:pPr>
      <w:r>
        <w:t>the deductibility of holding costs for property subject to the bright-line;</w:t>
      </w:r>
    </w:p>
    <w:p w:rsidR="002F340E" w:rsidRDefault="000E57CA" w:rsidP="002F1000">
      <w:pPr>
        <w:pStyle w:val="Bullets"/>
        <w:tabs>
          <w:tab w:val="clear" w:pos="851"/>
          <w:tab w:val="num" w:pos="567"/>
        </w:tabs>
        <w:spacing w:after="140"/>
        <w:ind w:left="567" w:hanging="567"/>
      </w:pPr>
      <w:r w:rsidRPr="002F340E">
        <w:t>r</w:t>
      </w:r>
      <w:r w:rsidR="008004DD" w:rsidRPr="002F340E">
        <w:t>ing-fencing losses</w:t>
      </w:r>
      <w:r w:rsidRPr="002F340E">
        <w:t>;</w:t>
      </w:r>
      <w:r w:rsidR="009C4262" w:rsidRPr="002F340E">
        <w:t xml:space="preserve"> and</w:t>
      </w:r>
    </w:p>
    <w:p w:rsidR="002F1000" w:rsidRDefault="002F1000" w:rsidP="002F1000">
      <w:pPr>
        <w:pStyle w:val="Bullets"/>
        <w:tabs>
          <w:tab w:val="clear" w:pos="851"/>
          <w:tab w:val="num" w:pos="567"/>
        </w:tabs>
        <w:spacing w:after="140"/>
        <w:ind w:left="567" w:hanging="567"/>
      </w:pPr>
      <w:proofErr w:type="gramStart"/>
      <w:r>
        <w:t>the</w:t>
      </w:r>
      <w:proofErr w:type="gramEnd"/>
      <w:r>
        <w:t xml:space="preserve"> proposed land-rich company rule.</w:t>
      </w:r>
    </w:p>
    <w:p w:rsidR="00F21E88" w:rsidRPr="002F1000" w:rsidRDefault="00F21E88" w:rsidP="002F1000"/>
    <w:p w:rsidR="00A0560D" w:rsidRPr="00A0560D" w:rsidRDefault="00A0560D" w:rsidP="008004DD">
      <w:pPr>
        <w:rPr>
          <w:szCs w:val="24"/>
          <w:lang w:val="en-NZ"/>
        </w:rPr>
      </w:pPr>
      <w:r>
        <w:rPr>
          <w:szCs w:val="24"/>
          <w:lang w:val="en-NZ"/>
        </w:rPr>
        <w:t xml:space="preserve">These </w:t>
      </w:r>
      <w:r w:rsidR="000E57CA">
        <w:rPr>
          <w:szCs w:val="24"/>
          <w:lang w:val="en-NZ"/>
        </w:rPr>
        <w:t>submissions</w:t>
      </w:r>
      <w:r>
        <w:rPr>
          <w:szCs w:val="24"/>
          <w:lang w:val="en-NZ"/>
        </w:rPr>
        <w:t xml:space="preserve"> are explained in more detail in the report.</w:t>
      </w:r>
    </w:p>
    <w:p w:rsidR="00266DAC" w:rsidRDefault="00266DAC" w:rsidP="008004DD">
      <w:pPr>
        <w:rPr>
          <w:szCs w:val="24"/>
          <w:lang w:val="en-NZ"/>
        </w:rPr>
      </w:pPr>
    </w:p>
    <w:p w:rsidR="00F80A3E" w:rsidRDefault="00F80A3E" w:rsidP="008004DD">
      <w:pPr>
        <w:rPr>
          <w:szCs w:val="24"/>
          <w:lang w:val="en-NZ"/>
        </w:rPr>
      </w:pPr>
    </w:p>
    <w:p w:rsidR="00266DAC" w:rsidRDefault="00266DAC" w:rsidP="00F80A3E">
      <w:pPr>
        <w:pStyle w:val="Heading2"/>
        <w:rPr>
          <w:lang w:val="en-NZ"/>
        </w:rPr>
      </w:pPr>
      <w:r>
        <w:rPr>
          <w:lang w:val="en-NZ"/>
        </w:rPr>
        <w:t>Matters raised by the Finance and Expenditure Committee</w:t>
      </w:r>
    </w:p>
    <w:p w:rsidR="00266DAC" w:rsidRPr="00F80A3E" w:rsidRDefault="00266DAC" w:rsidP="008004DD">
      <w:pPr>
        <w:rPr>
          <w:szCs w:val="24"/>
          <w:lang w:val="en-NZ"/>
        </w:rPr>
      </w:pPr>
    </w:p>
    <w:p w:rsidR="00266DAC" w:rsidRDefault="00266DAC" w:rsidP="008004DD">
      <w:pPr>
        <w:rPr>
          <w:szCs w:val="24"/>
          <w:lang w:val="en-NZ"/>
        </w:rPr>
      </w:pPr>
      <w:r>
        <w:rPr>
          <w:szCs w:val="24"/>
          <w:lang w:val="en-NZ"/>
        </w:rPr>
        <w:t>The Finance and Expenditure Committee asked officials for example scenarios to demonstrate how the bright-line test would work in practice.</w:t>
      </w:r>
    </w:p>
    <w:p w:rsidR="00266DAC" w:rsidRDefault="00266DAC" w:rsidP="008004DD">
      <w:pPr>
        <w:rPr>
          <w:szCs w:val="24"/>
          <w:lang w:val="en-NZ"/>
        </w:rPr>
      </w:pPr>
    </w:p>
    <w:p w:rsidR="00266DAC" w:rsidRPr="00266DAC" w:rsidRDefault="00266DAC" w:rsidP="008004DD">
      <w:pPr>
        <w:rPr>
          <w:szCs w:val="24"/>
          <w:lang w:val="en-NZ"/>
        </w:rPr>
      </w:pPr>
      <w:r>
        <w:rPr>
          <w:szCs w:val="24"/>
          <w:lang w:val="en-NZ"/>
        </w:rPr>
        <w:t>The Committee also asked for further information on the provisions for inheritance in the bill and whether there were any changes planned to the current intention test as a result of the new bright-line test.</w:t>
      </w:r>
    </w:p>
    <w:p w:rsidR="00D95FF8" w:rsidRPr="00DB4CC5" w:rsidRDefault="00D95FF8" w:rsidP="00D95FF8">
      <w:pPr>
        <w:pStyle w:val="Heading1"/>
      </w:pPr>
      <w:r>
        <w:br w:type="page"/>
      </w:r>
      <w:bookmarkStart w:id="4" w:name="_Toc432411892"/>
      <w:r w:rsidR="00B342FF">
        <w:t>Support/opposition to reform</w:t>
      </w:r>
      <w:bookmarkEnd w:id="4"/>
    </w:p>
    <w:p w:rsidR="00D95FF8" w:rsidRDefault="00D95FF8" w:rsidP="00D95FF8">
      <w:pPr>
        <w:rPr>
          <w:lang w:val="en-NZ"/>
        </w:rPr>
      </w:pPr>
    </w:p>
    <w:p w:rsidR="0089464E" w:rsidRPr="009B557D" w:rsidRDefault="0089464E" w:rsidP="002F1000">
      <w:pPr>
        <w:pStyle w:val="Heading3"/>
        <w:rPr>
          <w:lang w:val="en-NZ"/>
        </w:rPr>
      </w:pPr>
      <w:r w:rsidRPr="009B557D">
        <w:rPr>
          <w:lang w:val="en-NZ"/>
        </w:rPr>
        <w:t>Clauses 4 to 15</w:t>
      </w:r>
    </w:p>
    <w:p w:rsidR="00D95FF8" w:rsidRDefault="00D95FF8" w:rsidP="00D95FF8">
      <w:pPr>
        <w:rPr>
          <w:lang w:val="en-NZ"/>
        </w:rPr>
      </w:pPr>
    </w:p>
    <w:p w:rsidR="00B2760B" w:rsidRDefault="00B2760B" w:rsidP="00D95FF8">
      <w:pPr>
        <w:rPr>
          <w:lang w:val="en-NZ"/>
        </w:rPr>
      </w:pPr>
    </w:p>
    <w:p w:rsidR="000D3664" w:rsidRPr="00DB4CC5" w:rsidRDefault="000D3664" w:rsidP="000D3664">
      <w:pPr>
        <w:pStyle w:val="Heading5"/>
        <w:ind w:left="794" w:hanging="794"/>
        <w:rPr>
          <w:lang w:val="en-NZ"/>
        </w:rPr>
      </w:pPr>
      <w:bookmarkStart w:id="5" w:name="_Toc432411893"/>
      <w:r w:rsidRPr="00DB4CC5">
        <w:rPr>
          <w:lang w:val="en-NZ"/>
        </w:rPr>
        <w:t>Issue:</w:t>
      </w:r>
      <w:r w:rsidRPr="00DB4CC5">
        <w:rPr>
          <w:lang w:val="en-NZ"/>
        </w:rPr>
        <w:tab/>
      </w:r>
      <w:r>
        <w:rPr>
          <w:lang w:val="en-NZ"/>
        </w:rPr>
        <w:t>Support for bright-line test</w:t>
      </w:r>
      <w:bookmarkEnd w:id="5"/>
    </w:p>
    <w:p w:rsidR="000D3664" w:rsidRPr="00DB4CC5" w:rsidRDefault="000D3664" w:rsidP="000D3664">
      <w:pPr>
        <w:rPr>
          <w:lang w:val="en-NZ"/>
        </w:rPr>
      </w:pPr>
    </w:p>
    <w:p w:rsidR="000D3664" w:rsidRPr="00DB4CC5" w:rsidRDefault="000D3664" w:rsidP="000D3664">
      <w:pPr>
        <w:rPr>
          <w:lang w:val="en-NZ"/>
        </w:rPr>
      </w:pPr>
    </w:p>
    <w:p w:rsidR="000D3664" w:rsidRPr="00DB4CC5" w:rsidRDefault="000D3664" w:rsidP="000D3664">
      <w:pPr>
        <w:pStyle w:val="Heading2"/>
        <w:rPr>
          <w:lang w:val="en-NZ"/>
        </w:rPr>
      </w:pPr>
      <w:r w:rsidRPr="00DB4CC5">
        <w:rPr>
          <w:lang w:val="en-NZ"/>
        </w:rPr>
        <w:t>Submission</w:t>
      </w:r>
    </w:p>
    <w:p w:rsidR="000D3664" w:rsidRPr="00DB4CC5" w:rsidRDefault="000D3664" w:rsidP="000D3664">
      <w:pPr>
        <w:pStyle w:val="Heading4"/>
        <w:rPr>
          <w:lang w:val="en-NZ"/>
        </w:rPr>
      </w:pPr>
      <w:r>
        <w:rPr>
          <w:lang w:val="en-NZ"/>
        </w:rPr>
        <w:t xml:space="preserve">(EY, </w:t>
      </w:r>
      <w:r w:rsidR="00CB5D65">
        <w:rPr>
          <w:lang w:val="en-NZ"/>
        </w:rPr>
        <w:t>P</w:t>
      </w:r>
      <w:r>
        <w:rPr>
          <w:lang w:val="en-NZ"/>
        </w:rPr>
        <w:t>w</w:t>
      </w:r>
      <w:r w:rsidR="00CB5D65">
        <w:rPr>
          <w:lang w:val="en-NZ"/>
        </w:rPr>
        <w:t>C</w:t>
      </w:r>
      <w:r>
        <w:rPr>
          <w:lang w:val="en-NZ"/>
        </w:rPr>
        <w:t>)</w:t>
      </w:r>
    </w:p>
    <w:p w:rsidR="000D3664" w:rsidRPr="00DB4CC5" w:rsidRDefault="000D3664" w:rsidP="000D3664">
      <w:pPr>
        <w:tabs>
          <w:tab w:val="left" w:pos="5295"/>
        </w:tabs>
        <w:rPr>
          <w:lang w:val="en-NZ"/>
        </w:rPr>
      </w:pPr>
    </w:p>
    <w:p w:rsidR="000D3664" w:rsidRDefault="000D3664" w:rsidP="000D3664">
      <w:pPr>
        <w:rPr>
          <w:lang w:val="en-NZ"/>
        </w:rPr>
      </w:pPr>
      <w:r>
        <w:rPr>
          <w:lang w:val="en-NZ"/>
        </w:rPr>
        <w:t>Two submitters supported the proposed bright-line test.</w:t>
      </w:r>
    </w:p>
    <w:p w:rsidR="000D3664" w:rsidRDefault="000D3664" w:rsidP="000D3664">
      <w:pPr>
        <w:rPr>
          <w:lang w:val="en-NZ"/>
        </w:rPr>
      </w:pPr>
    </w:p>
    <w:p w:rsidR="000D3664" w:rsidRPr="00DB4CC5" w:rsidRDefault="00CB5D65" w:rsidP="000D3664">
      <w:pPr>
        <w:rPr>
          <w:lang w:val="en-NZ"/>
        </w:rPr>
      </w:pPr>
      <w:r>
        <w:rPr>
          <w:lang w:val="en-NZ"/>
        </w:rPr>
        <w:t xml:space="preserve">They </w:t>
      </w:r>
      <w:r w:rsidR="000D3664">
        <w:rPr>
          <w:lang w:val="en-NZ"/>
        </w:rPr>
        <w:t>stated that the bright-line test appeared to be a</w:t>
      </w:r>
      <w:r w:rsidR="00C7537A">
        <w:rPr>
          <w:lang w:val="en-NZ"/>
        </w:rPr>
        <w:t xml:space="preserve"> </w:t>
      </w:r>
      <w:r w:rsidR="000D3664">
        <w:rPr>
          <w:lang w:val="en-NZ"/>
        </w:rPr>
        <w:t>pragmatic approach to address concerns regarding enforcement of the intention test.</w:t>
      </w:r>
    </w:p>
    <w:p w:rsidR="000D3664" w:rsidRPr="00DB4CC5" w:rsidRDefault="000D3664" w:rsidP="000D3664">
      <w:pPr>
        <w:rPr>
          <w:lang w:val="en-NZ"/>
        </w:rPr>
      </w:pPr>
    </w:p>
    <w:p w:rsidR="000D3664" w:rsidRPr="00DB4CC5" w:rsidRDefault="000D3664" w:rsidP="000D3664">
      <w:pPr>
        <w:pStyle w:val="Heading2"/>
        <w:rPr>
          <w:lang w:val="en-NZ"/>
        </w:rPr>
      </w:pPr>
      <w:r w:rsidRPr="00DB4CC5">
        <w:rPr>
          <w:lang w:val="en-NZ"/>
        </w:rPr>
        <w:t>Recommendation</w:t>
      </w:r>
    </w:p>
    <w:p w:rsidR="000D3664" w:rsidRPr="00DB4CC5" w:rsidRDefault="000D3664" w:rsidP="000D3664">
      <w:pPr>
        <w:rPr>
          <w:lang w:val="en-NZ"/>
        </w:rPr>
      </w:pPr>
    </w:p>
    <w:p w:rsidR="000D3664" w:rsidRPr="00DB4CC5" w:rsidRDefault="000D3664" w:rsidP="000D3664">
      <w:pPr>
        <w:rPr>
          <w:lang w:val="en-NZ"/>
        </w:rPr>
      </w:pPr>
      <w:r w:rsidRPr="00DB4CC5">
        <w:rPr>
          <w:lang w:val="en-NZ"/>
        </w:rPr>
        <w:t xml:space="preserve">That the submission be </w:t>
      </w:r>
      <w:r>
        <w:rPr>
          <w:lang w:val="en-NZ"/>
        </w:rPr>
        <w:t>noted.</w:t>
      </w:r>
    </w:p>
    <w:p w:rsidR="000D3664" w:rsidRPr="00DB4CC5" w:rsidRDefault="000D3664" w:rsidP="000D3664">
      <w:pPr>
        <w:pBdr>
          <w:bottom w:val="single" w:sz="4" w:space="1" w:color="auto"/>
        </w:pBdr>
        <w:rPr>
          <w:lang w:val="en-NZ"/>
        </w:rPr>
      </w:pPr>
    </w:p>
    <w:p w:rsidR="000D3664" w:rsidRDefault="000D3664" w:rsidP="00D95FF8">
      <w:pPr>
        <w:rPr>
          <w:lang w:val="en-NZ"/>
        </w:rPr>
      </w:pPr>
    </w:p>
    <w:p w:rsidR="007E7996" w:rsidRDefault="007E7996" w:rsidP="00D95FF8">
      <w:pPr>
        <w:rPr>
          <w:lang w:val="en-NZ"/>
        </w:rPr>
      </w:pPr>
    </w:p>
    <w:p w:rsidR="00D95FF8" w:rsidRPr="00DB4CC5" w:rsidRDefault="00D95FF8" w:rsidP="00D95FF8">
      <w:pPr>
        <w:pStyle w:val="Heading5"/>
        <w:ind w:left="794" w:hanging="794"/>
        <w:rPr>
          <w:lang w:val="en-NZ"/>
        </w:rPr>
      </w:pPr>
      <w:bookmarkStart w:id="6" w:name="_Toc432411894"/>
      <w:r w:rsidRPr="00DB4CC5">
        <w:rPr>
          <w:lang w:val="en-NZ"/>
        </w:rPr>
        <w:t>Issue:</w:t>
      </w:r>
      <w:r w:rsidRPr="00DB4CC5">
        <w:rPr>
          <w:lang w:val="en-NZ"/>
        </w:rPr>
        <w:tab/>
      </w:r>
      <w:r w:rsidR="00C71390">
        <w:rPr>
          <w:lang w:val="en-NZ"/>
        </w:rPr>
        <w:t>Opposition</w:t>
      </w:r>
      <w:r w:rsidR="00ED70F1">
        <w:rPr>
          <w:lang w:val="en-NZ"/>
        </w:rPr>
        <w:t xml:space="preserve"> to bright-line test</w:t>
      </w:r>
      <w:bookmarkEnd w:id="6"/>
    </w:p>
    <w:p w:rsidR="00D95FF8" w:rsidRPr="00DB4CC5" w:rsidRDefault="00D95FF8" w:rsidP="00D95FF8">
      <w:pPr>
        <w:rPr>
          <w:lang w:val="en-NZ"/>
        </w:rPr>
      </w:pPr>
    </w:p>
    <w:p w:rsidR="00D95FF8" w:rsidRPr="00DB4CC5" w:rsidRDefault="00D95FF8" w:rsidP="00D95FF8">
      <w:pPr>
        <w:rPr>
          <w:lang w:val="en-NZ"/>
        </w:rPr>
      </w:pPr>
    </w:p>
    <w:p w:rsidR="00D95FF8" w:rsidRPr="00DB4CC5" w:rsidRDefault="00D95FF8" w:rsidP="00D95FF8">
      <w:pPr>
        <w:pStyle w:val="Heading2"/>
        <w:rPr>
          <w:lang w:val="en-NZ"/>
        </w:rPr>
      </w:pPr>
      <w:r w:rsidRPr="00DB4CC5">
        <w:rPr>
          <w:lang w:val="en-NZ"/>
        </w:rPr>
        <w:t>Submission</w:t>
      </w:r>
    </w:p>
    <w:p w:rsidR="00D95FF8" w:rsidRPr="00DB4CC5" w:rsidRDefault="00ED70F1" w:rsidP="00D95FF8">
      <w:pPr>
        <w:pStyle w:val="Heading4"/>
        <w:rPr>
          <w:lang w:val="en-NZ"/>
        </w:rPr>
      </w:pPr>
      <w:r>
        <w:rPr>
          <w:lang w:val="en-NZ"/>
        </w:rPr>
        <w:t>(</w:t>
      </w:r>
      <w:r w:rsidR="00FA645B">
        <w:rPr>
          <w:lang w:val="en-NZ"/>
        </w:rPr>
        <w:t>Chartered Accountants Australia and New Zealand</w:t>
      </w:r>
      <w:r w:rsidR="00715D10">
        <w:rPr>
          <w:lang w:val="en-NZ"/>
        </w:rPr>
        <w:t>,</w:t>
      </w:r>
      <w:r w:rsidR="00FA645B">
        <w:rPr>
          <w:lang w:val="en-NZ"/>
        </w:rPr>
        <w:t xml:space="preserve"> New Zealand Law Society</w:t>
      </w:r>
      <w:r w:rsidR="00BD0C36">
        <w:rPr>
          <w:lang w:val="en-NZ"/>
        </w:rPr>
        <w:t xml:space="preserve">, </w:t>
      </w:r>
      <w:proofErr w:type="spellStart"/>
      <w:r w:rsidR="00BD0C36">
        <w:rPr>
          <w:lang w:val="en-NZ"/>
        </w:rPr>
        <w:t>nsaTax</w:t>
      </w:r>
      <w:proofErr w:type="spellEnd"/>
      <w:r w:rsidR="008F4833">
        <w:rPr>
          <w:lang w:val="en-NZ"/>
        </w:rPr>
        <w:t xml:space="preserve">, </w:t>
      </w:r>
      <w:r w:rsidR="00297592">
        <w:rPr>
          <w:lang w:val="en-NZ"/>
        </w:rPr>
        <w:t>KPMG</w:t>
      </w:r>
      <w:r>
        <w:rPr>
          <w:lang w:val="en-NZ"/>
        </w:rPr>
        <w:t>)</w:t>
      </w:r>
    </w:p>
    <w:p w:rsidR="00D95FF8" w:rsidRPr="00DB4CC5" w:rsidRDefault="00D95FF8" w:rsidP="00D95FF8">
      <w:pPr>
        <w:tabs>
          <w:tab w:val="left" w:pos="5295"/>
        </w:tabs>
        <w:rPr>
          <w:lang w:val="en-NZ"/>
        </w:rPr>
      </w:pPr>
    </w:p>
    <w:p w:rsidR="00D95FF8" w:rsidRDefault="00FF3089" w:rsidP="00D95FF8">
      <w:pPr>
        <w:rPr>
          <w:lang w:val="en-NZ"/>
        </w:rPr>
      </w:pPr>
      <w:r>
        <w:rPr>
          <w:lang w:val="en-NZ"/>
        </w:rPr>
        <w:t>Four submitters did not support the proposed bright-line test.</w:t>
      </w:r>
    </w:p>
    <w:p w:rsidR="00FF3089" w:rsidRDefault="00FF3089" w:rsidP="00D95FF8">
      <w:pPr>
        <w:rPr>
          <w:lang w:val="en-NZ"/>
        </w:rPr>
      </w:pPr>
    </w:p>
    <w:p w:rsidR="00FF3089" w:rsidRDefault="00ED70F1" w:rsidP="00D95FF8">
      <w:pPr>
        <w:rPr>
          <w:lang w:val="en-NZ"/>
        </w:rPr>
      </w:pPr>
      <w:r>
        <w:rPr>
          <w:lang w:val="en-NZ"/>
        </w:rPr>
        <w:t>The r</w:t>
      </w:r>
      <w:r w:rsidR="00FF3089">
        <w:rPr>
          <w:lang w:val="en-NZ"/>
        </w:rPr>
        <w:t>easons for this included:</w:t>
      </w:r>
    </w:p>
    <w:p w:rsidR="002F1000" w:rsidRDefault="002F1000" w:rsidP="00D95FF8">
      <w:pPr>
        <w:rPr>
          <w:lang w:val="en-NZ"/>
        </w:rPr>
      </w:pPr>
    </w:p>
    <w:p w:rsidR="00FF3089" w:rsidRDefault="009617D6" w:rsidP="00DC6603">
      <w:pPr>
        <w:pStyle w:val="Bullets"/>
        <w:tabs>
          <w:tab w:val="clear" w:pos="851"/>
          <w:tab w:val="num" w:pos="567"/>
        </w:tabs>
        <w:spacing w:after="140"/>
        <w:ind w:left="567" w:hanging="567"/>
        <w:jc w:val="both"/>
        <w:rPr>
          <w:lang w:val="en-NZ"/>
        </w:rPr>
      </w:pPr>
      <w:r>
        <w:rPr>
          <w:lang w:val="en-NZ"/>
        </w:rPr>
        <w:t>t</w:t>
      </w:r>
      <w:r w:rsidR="00FF3089">
        <w:rPr>
          <w:lang w:val="en-NZ"/>
        </w:rPr>
        <w:t>hat instead of piecemeal change, problems with the land sale rules need to be looked at in a comprehensive manner</w:t>
      </w:r>
      <w:r>
        <w:rPr>
          <w:lang w:val="en-NZ"/>
        </w:rPr>
        <w:t>;</w:t>
      </w:r>
    </w:p>
    <w:p w:rsidR="00FF3089" w:rsidRDefault="009617D6" w:rsidP="00DC6603">
      <w:pPr>
        <w:pStyle w:val="Bullets"/>
        <w:tabs>
          <w:tab w:val="clear" w:pos="851"/>
          <w:tab w:val="num" w:pos="567"/>
        </w:tabs>
        <w:spacing w:after="140"/>
        <w:ind w:left="567" w:hanging="567"/>
        <w:jc w:val="both"/>
        <w:rPr>
          <w:lang w:val="en-NZ"/>
        </w:rPr>
      </w:pPr>
      <w:r>
        <w:rPr>
          <w:lang w:val="en-NZ"/>
        </w:rPr>
        <w:t>b</w:t>
      </w:r>
      <w:r w:rsidR="00FF3089">
        <w:rPr>
          <w:lang w:val="en-NZ"/>
        </w:rPr>
        <w:t xml:space="preserve">etter enforcement of the existing rules </w:t>
      </w:r>
      <w:r w:rsidR="00715D10">
        <w:rPr>
          <w:lang w:val="en-NZ"/>
        </w:rPr>
        <w:t xml:space="preserve">would be </w:t>
      </w:r>
      <w:r w:rsidR="00FF3089">
        <w:rPr>
          <w:lang w:val="en-NZ"/>
        </w:rPr>
        <w:t>preferable to the bright-line test</w:t>
      </w:r>
      <w:r>
        <w:rPr>
          <w:lang w:val="en-NZ"/>
        </w:rPr>
        <w:t>;</w:t>
      </w:r>
    </w:p>
    <w:p w:rsidR="00FF3089" w:rsidRDefault="00FF3089" w:rsidP="00DC6603">
      <w:pPr>
        <w:pStyle w:val="Bullets"/>
        <w:tabs>
          <w:tab w:val="clear" w:pos="851"/>
          <w:tab w:val="num" w:pos="567"/>
        </w:tabs>
        <w:spacing w:after="140"/>
        <w:ind w:left="567" w:hanging="567"/>
        <w:jc w:val="both"/>
        <w:rPr>
          <w:lang w:val="en-NZ"/>
        </w:rPr>
      </w:pPr>
      <w:r>
        <w:rPr>
          <w:lang w:val="en-NZ"/>
        </w:rPr>
        <w:t>better enforcement should be possible with the better information</w:t>
      </w:r>
      <w:r w:rsidR="00A47159">
        <w:rPr>
          <w:lang w:val="en-NZ"/>
        </w:rPr>
        <w:t xml:space="preserve"> available</w:t>
      </w:r>
      <w:r>
        <w:rPr>
          <w:lang w:val="en-NZ"/>
        </w:rPr>
        <w:t xml:space="preserve"> as a result of the Taxation (Land Information and Offshore Persons Information) Bill</w:t>
      </w:r>
      <w:r w:rsidR="009617D6">
        <w:rPr>
          <w:lang w:val="en-NZ"/>
        </w:rPr>
        <w:t>;</w:t>
      </w:r>
    </w:p>
    <w:p w:rsidR="00FA645B" w:rsidRDefault="009617D6" w:rsidP="00DC6603">
      <w:pPr>
        <w:pStyle w:val="Bullets"/>
        <w:tabs>
          <w:tab w:val="clear" w:pos="851"/>
          <w:tab w:val="num" w:pos="567"/>
        </w:tabs>
        <w:spacing w:after="140"/>
        <w:ind w:left="567" w:hanging="567"/>
        <w:jc w:val="both"/>
        <w:rPr>
          <w:lang w:val="en-NZ"/>
        </w:rPr>
      </w:pPr>
      <w:r>
        <w:rPr>
          <w:lang w:val="en-NZ"/>
        </w:rPr>
        <w:t>t</w:t>
      </w:r>
      <w:r w:rsidR="00FA645B">
        <w:rPr>
          <w:lang w:val="en-NZ"/>
        </w:rPr>
        <w:t xml:space="preserve">he burden of proof already lies on the taxpayer to prove they </w:t>
      </w:r>
      <w:r w:rsidR="00A47159">
        <w:rPr>
          <w:lang w:val="en-NZ"/>
        </w:rPr>
        <w:t xml:space="preserve">did not </w:t>
      </w:r>
      <w:r w:rsidR="00FA645B">
        <w:rPr>
          <w:lang w:val="en-NZ"/>
        </w:rPr>
        <w:t xml:space="preserve">purchase with </w:t>
      </w:r>
      <w:r w:rsidR="003459E0">
        <w:rPr>
          <w:lang w:val="en-NZ"/>
        </w:rPr>
        <w:t>an</w:t>
      </w:r>
      <w:r w:rsidR="009F14FC">
        <w:rPr>
          <w:lang w:val="en-NZ"/>
        </w:rPr>
        <w:t xml:space="preserve"> </w:t>
      </w:r>
      <w:r w:rsidR="00FA645B">
        <w:rPr>
          <w:lang w:val="en-NZ"/>
        </w:rPr>
        <w:t>intention of resale</w:t>
      </w:r>
      <w:r>
        <w:rPr>
          <w:lang w:val="en-NZ"/>
        </w:rPr>
        <w:t>;</w:t>
      </w:r>
    </w:p>
    <w:p w:rsidR="00FF3089" w:rsidRDefault="009617D6" w:rsidP="00DC6603">
      <w:pPr>
        <w:pStyle w:val="Bullets"/>
        <w:tabs>
          <w:tab w:val="clear" w:pos="851"/>
          <w:tab w:val="num" w:pos="567"/>
        </w:tabs>
        <w:spacing w:after="140"/>
        <w:ind w:left="567" w:hanging="567"/>
        <w:jc w:val="both"/>
        <w:rPr>
          <w:lang w:val="en-NZ"/>
        </w:rPr>
      </w:pPr>
      <w:r>
        <w:rPr>
          <w:lang w:val="en-NZ"/>
        </w:rPr>
        <w:t>t</w:t>
      </w:r>
      <w:r w:rsidR="00FF3089">
        <w:rPr>
          <w:lang w:val="en-NZ"/>
        </w:rPr>
        <w:t>he bright-line test will only tax those who are forced to sell property due to circumstances outside their control</w:t>
      </w:r>
      <w:r>
        <w:rPr>
          <w:lang w:val="en-NZ"/>
        </w:rPr>
        <w:t>;</w:t>
      </w:r>
    </w:p>
    <w:p w:rsidR="007257B6" w:rsidRDefault="009617D6" w:rsidP="00DC6603">
      <w:pPr>
        <w:pStyle w:val="Bullets"/>
        <w:tabs>
          <w:tab w:val="clear" w:pos="851"/>
          <w:tab w:val="num" w:pos="567"/>
        </w:tabs>
        <w:spacing w:after="140"/>
        <w:ind w:left="567" w:hanging="567"/>
        <w:jc w:val="both"/>
        <w:rPr>
          <w:lang w:val="en-NZ"/>
        </w:rPr>
      </w:pPr>
      <w:r>
        <w:rPr>
          <w:lang w:val="en-NZ"/>
        </w:rPr>
        <w:t>t</w:t>
      </w:r>
      <w:r w:rsidR="007257B6">
        <w:rPr>
          <w:lang w:val="en-NZ"/>
        </w:rPr>
        <w:t>he proposal could lead to a proliferation of bright-line tests, for different asset classes, de</w:t>
      </w:r>
      <w:r>
        <w:rPr>
          <w:lang w:val="en-NZ"/>
        </w:rPr>
        <w:t>pending on the issue of the day; and</w:t>
      </w:r>
    </w:p>
    <w:p w:rsidR="00FA645B" w:rsidRPr="00FF3089" w:rsidRDefault="009617D6" w:rsidP="00DC6603">
      <w:pPr>
        <w:pStyle w:val="Bullets"/>
        <w:tabs>
          <w:tab w:val="clear" w:pos="851"/>
          <w:tab w:val="num" w:pos="567"/>
        </w:tabs>
        <w:ind w:left="567" w:hanging="567"/>
        <w:jc w:val="both"/>
        <w:rPr>
          <w:lang w:val="en-NZ"/>
        </w:rPr>
      </w:pPr>
      <w:proofErr w:type="gramStart"/>
      <w:r>
        <w:rPr>
          <w:lang w:val="en-NZ"/>
        </w:rPr>
        <w:t>s</w:t>
      </w:r>
      <w:r w:rsidR="00FA645B">
        <w:rPr>
          <w:lang w:val="en-NZ"/>
        </w:rPr>
        <w:t>peculators</w:t>
      </w:r>
      <w:proofErr w:type="gramEnd"/>
      <w:r w:rsidR="00FA645B">
        <w:rPr>
          <w:lang w:val="en-NZ"/>
        </w:rPr>
        <w:t xml:space="preserve"> will change their behaviour to hold for longer than </w:t>
      </w:r>
      <w:r w:rsidR="005771F6">
        <w:rPr>
          <w:lang w:val="en-NZ"/>
        </w:rPr>
        <w:t>two</w:t>
      </w:r>
      <w:r w:rsidR="00FA645B">
        <w:rPr>
          <w:lang w:val="en-NZ"/>
        </w:rPr>
        <w:t xml:space="preserve"> years</w:t>
      </w:r>
      <w:r>
        <w:rPr>
          <w:lang w:val="en-NZ"/>
        </w:rPr>
        <w:t>.</w:t>
      </w:r>
    </w:p>
    <w:p w:rsidR="00D95FF8" w:rsidRPr="00DB4CC5" w:rsidRDefault="00D95FF8" w:rsidP="00D95FF8">
      <w:pPr>
        <w:pStyle w:val="Heading2"/>
        <w:rPr>
          <w:lang w:val="en-NZ"/>
        </w:rPr>
      </w:pPr>
      <w:r w:rsidRPr="00DB4CC5">
        <w:rPr>
          <w:lang w:val="en-NZ"/>
        </w:rPr>
        <w:t>Comment</w:t>
      </w:r>
    </w:p>
    <w:p w:rsidR="00D95FF8" w:rsidRPr="00DB4CC5" w:rsidRDefault="00D95FF8" w:rsidP="00D95FF8">
      <w:pPr>
        <w:rPr>
          <w:lang w:val="en-NZ"/>
        </w:rPr>
      </w:pPr>
    </w:p>
    <w:p w:rsidR="00D95FF8" w:rsidRDefault="00F46824" w:rsidP="00D95FF8">
      <w:pPr>
        <w:rPr>
          <w:lang w:val="en-NZ"/>
        </w:rPr>
      </w:pPr>
      <w:r>
        <w:rPr>
          <w:lang w:val="en-NZ"/>
        </w:rPr>
        <w:t>The goal of the bright-line test is to create an easy to enforce rule to supplement the</w:t>
      </w:r>
      <w:r w:rsidR="006B0984">
        <w:rPr>
          <w:lang w:val="en-NZ"/>
        </w:rPr>
        <w:t xml:space="preserve"> “intention test” in the land sale rules</w:t>
      </w:r>
      <w:r w:rsidR="00F16E3E">
        <w:rPr>
          <w:lang w:val="en-NZ"/>
        </w:rPr>
        <w:t>.  T</w:t>
      </w:r>
      <w:r w:rsidR="006B0984">
        <w:rPr>
          <w:lang w:val="en-NZ"/>
        </w:rPr>
        <w:t xml:space="preserve">he rule is intended to address the difficulties that Inland Revenue </w:t>
      </w:r>
      <w:r w:rsidR="005771F6">
        <w:rPr>
          <w:lang w:val="en-NZ"/>
        </w:rPr>
        <w:t xml:space="preserve">has </w:t>
      </w:r>
      <w:r w:rsidR="006B0984">
        <w:rPr>
          <w:lang w:val="en-NZ"/>
        </w:rPr>
        <w:t xml:space="preserve">in enforcing this rule, particularly in relation to residential property because of its high volume and </w:t>
      </w:r>
      <w:r w:rsidR="005771F6">
        <w:rPr>
          <w:lang w:val="en-NZ"/>
        </w:rPr>
        <w:t>turnover</w:t>
      </w:r>
      <w:r w:rsidR="006B0984">
        <w:rPr>
          <w:lang w:val="en-NZ"/>
        </w:rPr>
        <w:t>.</w:t>
      </w:r>
    </w:p>
    <w:p w:rsidR="006B0984" w:rsidRDefault="006B0984" w:rsidP="00D95FF8">
      <w:pPr>
        <w:rPr>
          <w:lang w:val="en-NZ"/>
        </w:rPr>
      </w:pPr>
    </w:p>
    <w:p w:rsidR="006B0984" w:rsidRPr="00DB4CC5" w:rsidRDefault="006B0984" w:rsidP="00D95FF8">
      <w:pPr>
        <w:rPr>
          <w:lang w:val="en-NZ"/>
        </w:rPr>
      </w:pPr>
      <w:r>
        <w:rPr>
          <w:lang w:val="en-NZ"/>
        </w:rPr>
        <w:t>We consider the bright-line</w:t>
      </w:r>
      <w:r w:rsidR="000F416A">
        <w:rPr>
          <w:lang w:val="en-NZ"/>
        </w:rPr>
        <w:t xml:space="preserve"> test</w:t>
      </w:r>
      <w:r>
        <w:rPr>
          <w:lang w:val="en-NZ"/>
        </w:rPr>
        <w:t xml:space="preserve"> a pragmatic </w:t>
      </w:r>
      <w:r w:rsidR="00B96C92">
        <w:rPr>
          <w:lang w:val="en-NZ"/>
        </w:rPr>
        <w:t>measure</w:t>
      </w:r>
      <w:r>
        <w:rPr>
          <w:lang w:val="en-NZ"/>
        </w:rPr>
        <w:t xml:space="preserve"> to address these difficulties.</w:t>
      </w:r>
    </w:p>
    <w:p w:rsidR="00D95FF8" w:rsidRPr="00DB4CC5" w:rsidRDefault="00D95FF8" w:rsidP="00D95FF8">
      <w:pPr>
        <w:rPr>
          <w:lang w:val="en-NZ"/>
        </w:rPr>
      </w:pPr>
    </w:p>
    <w:p w:rsidR="00D95FF8" w:rsidRPr="00DB4CC5" w:rsidRDefault="00D95FF8" w:rsidP="00D95FF8">
      <w:pPr>
        <w:pStyle w:val="Heading2"/>
        <w:rPr>
          <w:lang w:val="en-NZ"/>
        </w:rPr>
      </w:pPr>
      <w:r w:rsidRPr="00DB4CC5">
        <w:rPr>
          <w:lang w:val="en-NZ"/>
        </w:rPr>
        <w:t>Recommendation</w:t>
      </w:r>
    </w:p>
    <w:p w:rsidR="00D95FF8" w:rsidRPr="00DB4CC5" w:rsidRDefault="00D95FF8" w:rsidP="00D95FF8">
      <w:pPr>
        <w:rPr>
          <w:lang w:val="en-NZ"/>
        </w:rPr>
      </w:pPr>
    </w:p>
    <w:p w:rsidR="00D95FF8" w:rsidRPr="00DB4CC5" w:rsidRDefault="00D95FF8" w:rsidP="00D95FF8">
      <w:pPr>
        <w:rPr>
          <w:lang w:val="en-NZ"/>
        </w:rPr>
      </w:pPr>
      <w:r w:rsidRPr="00DB4CC5">
        <w:rPr>
          <w:lang w:val="en-NZ"/>
        </w:rPr>
        <w:t xml:space="preserve">That the submission be </w:t>
      </w:r>
      <w:r w:rsidR="006B0984">
        <w:rPr>
          <w:lang w:val="en-NZ"/>
        </w:rPr>
        <w:t>declined.</w:t>
      </w:r>
    </w:p>
    <w:p w:rsidR="005A79F1" w:rsidRPr="00DB4CC5" w:rsidRDefault="005A79F1" w:rsidP="005A79F1">
      <w:pPr>
        <w:rPr>
          <w:lang w:val="en-NZ"/>
        </w:rPr>
      </w:pPr>
    </w:p>
    <w:p w:rsidR="002E77DC" w:rsidRDefault="002E77DC">
      <w:pPr>
        <w:jc w:val="left"/>
      </w:pPr>
      <w:r>
        <w:br w:type="page"/>
      </w:r>
    </w:p>
    <w:p w:rsidR="007A674F" w:rsidRPr="00DB4CC5" w:rsidRDefault="001D49FE" w:rsidP="007A674F">
      <w:pPr>
        <w:pStyle w:val="Heading1"/>
      </w:pPr>
      <w:bookmarkStart w:id="7" w:name="_Toc432411895"/>
      <w:r>
        <w:t>Changing bright-line test to a rebuttable presumption</w:t>
      </w:r>
      <w:bookmarkEnd w:id="7"/>
    </w:p>
    <w:p w:rsidR="007A674F" w:rsidRDefault="007A674F" w:rsidP="007A674F">
      <w:pPr>
        <w:rPr>
          <w:lang w:val="en-NZ"/>
        </w:rPr>
      </w:pPr>
    </w:p>
    <w:p w:rsidR="00BF1E36" w:rsidRDefault="00BF1E36" w:rsidP="00A842F0">
      <w:pPr>
        <w:pStyle w:val="Heading3"/>
        <w:rPr>
          <w:lang w:val="en-NZ"/>
        </w:rPr>
      </w:pPr>
      <w:r w:rsidRPr="008C4280">
        <w:rPr>
          <w:lang w:val="en-NZ"/>
        </w:rPr>
        <w:t>Clause 4</w:t>
      </w:r>
    </w:p>
    <w:p w:rsidR="00BF1E36" w:rsidRPr="00DB4CC5" w:rsidRDefault="00BF1E36" w:rsidP="007A674F">
      <w:pPr>
        <w:rPr>
          <w:lang w:val="en-NZ"/>
        </w:rPr>
      </w:pPr>
    </w:p>
    <w:p w:rsidR="007A674F" w:rsidRPr="00DB4CC5" w:rsidRDefault="007A674F" w:rsidP="007A674F">
      <w:pPr>
        <w:rPr>
          <w:lang w:val="en-NZ"/>
        </w:rPr>
      </w:pPr>
    </w:p>
    <w:p w:rsidR="007A674F" w:rsidRPr="00DB4CC5" w:rsidRDefault="007A674F" w:rsidP="007A674F">
      <w:pPr>
        <w:pStyle w:val="Heading2"/>
        <w:rPr>
          <w:lang w:val="en-NZ"/>
        </w:rPr>
      </w:pPr>
      <w:r w:rsidRPr="00DB4CC5">
        <w:rPr>
          <w:lang w:val="en-NZ"/>
        </w:rPr>
        <w:t>Submission</w:t>
      </w:r>
    </w:p>
    <w:p w:rsidR="007A674F" w:rsidRPr="00DB4CC5" w:rsidRDefault="007A674F" w:rsidP="007A674F">
      <w:pPr>
        <w:pStyle w:val="Heading4"/>
        <w:rPr>
          <w:lang w:val="en-NZ"/>
        </w:rPr>
      </w:pPr>
      <w:r>
        <w:rPr>
          <w:lang w:val="en-NZ"/>
        </w:rPr>
        <w:t xml:space="preserve">(Matter </w:t>
      </w:r>
      <w:r w:rsidR="001E0411">
        <w:rPr>
          <w:lang w:val="en-NZ"/>
        </w:rPr>
        <w:t>raised during oral submissions</w:t>
      </w:r>
      <w:r>
        <w:rPr>
          <w:lang w:val="en-NZ"/>
        </w:rPr>
        <w:t>)</w:t>
      </w:r>
    </w:p>
    <w:p w:rsidR="007A674F" w:rsidRPr="00DB4CC5" w:rsidRDefault="007A674F" w:rsidP="007A674F">
      <w:pPr>
        <w:tabs>
          <w:tab w:val="left" w:pos="5295"/>
        </w:tabs>
        <w:rPr>
          <w:lang w:val="en-NZ"/>
        </w:rPr>
      </w:pPr>
    </w:p>
    <w:p w:rsidR="007A674F" w:rsidRPr="00DB4CC5" w:rsidRDefault="001E0411" w:rsidP="007A674F">
      <w:pPr>
        <w:rPr>
          <w:lang w:val="en-NZ"/>
        </w:rPr>
      </w:pPr>
      <w:r>
        <w:rPr>
          <w:lang w:val="en-NZ"/>
        </w:rPr>
        <w:t>During oral submissions to the Committee it was suggested</w:t>
      </w:r>
      <w:r w:rsidR="007A674F">
        <w:rPr>
          <w:lang w:val="en-NZ"/>
        </w:rPr>
        <w:t xml:space="preserve"> that the bright-line test could be changed to a rebuttable presumption</w:t>
      </w:r>
      <w:r w:rsidR="006B227C">
        <w:rPr>
          <w:lang w:val="en-NZ"/>
        </w:rPr>
        <w:t xml:space="preserve"> that property acquired and disposed within two years was acquired with an intention of disposal</w:t>
      </w:r>
      <w:r w:rsidR="007A674F">
        <w:rPr>
          <w:lang w:val="en-NZ"/>
        </w:rPr>
        <w:t>.</w:t>
      </w:r>
    </w:p>
    <w:p w:rsidR="007A674F" w:rsidRPr="00DB4CC5" w:rsidRDefault="007A674F" w:rsidP="007A674F">
      <w:pPr>
        <w:rPr>
          <w:lang w:val="en-NZ"/>
        </w:rPr>
      </w:pPr>
    </w:p>
    <w:p w:rsidR="007A674F" w:rsidRPr="00DB4CC5" w:rsidRDefault="007A674F" w:rsidP="007A674F">
      <w:pPr>
        <w:pStyle w:val="Heading2"/>
        <w:rPr>
          <w:lang w:val="en-NZ"/>
        </w:rPr>
      </w:pPr>
      <w:r w:rsidRPr="00DB4CC5">
        <w:rPr>
          <w:lang w:val="en-NZ"/>
        </w:rPr>
        <w:t>Comment</w:t>
      </w:r>
    </w:p>
    <w:p w:rsidR="007A674F" w:rsidRPr="00DB4CC5" w:rsidRDefault="007A674F" w:rsidP="007A674F">
      <w:pPr>
        <w:rPr>
          <w:lang w:val="en-NZ"/>
        </w:rPr>
      </w:pPr>
    </w:p>
    <w:p w:rsidR="007A674F" w:rsidRDefault="006B227C" w:rsidP="007A674F">
      <w:pPr>
        <w:rPr>
          <w:lang w:val="en-NZ"/>
        </w:rPr>
      </w:pPr>
      <w:r>
        <w:rPr>
          <w:lang w:val="en-NZ"/>
        </w:rPr>
        <w:t>The primary goal of the bright-</w:t>
      </w:r>
      <w:r w:rsidR="00C7537A">
        <w:rPr>
          <w:lang w:val="en-NZ"/>
        </w:rPr>
        <w:t>line test is to provide an easy</w:t>
      </w:r>
      <w:r>
        <w:rPr>
          <w:lang w:val="en-NZ"/>
        </w:rPr>
        <w:t xml:space="preserve"> to enforce rule</w:t>
      </w:r>
      <w:r w:rsidR="00F16E3E">
        <w:rPr>
          <w:lang w:val="en-NZ"/>
        </w:rPr>
        <w:t>.  T</w:t>
      </w:r>
      <w:r>
        <w:rPr>
          <w:lang w:val="en-NZ"/>
        </w:rPr>
        <w:t>his is due to difficulties in enforcing the current intention</w:t>
      </w:r>
      <w:r w:rsidR="001D49FE">
        <w:rPr>
          <w:lang w:val="en-NZ"/>
        </w:rPr>
        <w:t>,</w:t>
      </w:r>
      <w:r>
        <w:rPr>
          <w:lang w:val="en-NZ"/>
        </w:rPr>
        <w:t xml:space="preserve"> test which is difficult to enforce because of its subjectivity and the ability for taxpayers to argue that they did not acquire</w:t>
      </w:r>
      <w:r w:rsidR="005771F6">
        <w:rPr>
          <w:lang w:val="en-NZ"/>
        </w:rPr>
        <w:t xml:space="preserve"> property</w:t>
      </w:r>
      <w:r>
        <w:rPr>
          <w:lang w:val="en-NZ"/>
        </w:rPr>
        <w:t xml:space="preserve"> with an intention of resale.</w:t>
      </w:r>
    </w:p>
    <w:p w:rsidR="006B227C" w:rsidRDefault="006B227C" w:rsidP="007A674F">
      <w:pPr>
        <w:rPr>
          <w:lang w:val="en-NZ"/>
        </w:rPr>
      </w:pPr>
    </w:p>
    <w:p w:rsidR="006B227C" w:rsidRDefault="006B227C" w:rsidP="007A674F">
      <w:pPr>
        <w:rPr>
          <w:lang w:val="en-NZ"/>
        </w:rPr>
      </w:pPr>
      <w:r>
        <w:rPr>
          <w:lang w:val="en-NZ"/>
        </w:rPr>
        <w:t xml:space="preserve">We do not consider that designing the bright-line test as a rebuttable presumption of intention would achieve </w:t>
      </w:r>
      <w:r w:rsidR="00C7537A">
        <w:rPr>
          <w:lang w:val="en-NZ"/>
        </w:rPr>
        <w:t>the goal of creating an easy to enforce rule</w:t>
      </w:r>
      <w:r w:rsidR="00F16E3E">
        <w:rPr>
          <w:lang w:val="en-NZ"/>
        </w:rPr>
        <w:t>.  W</w:t>
      </w:r>
      <w:r w:rsidR="00C7537A">
        <w:rPr>
          <w:lang w:val="en-NZ"/>
        </w:rPr>
        <w:t>ith a rebuttable presumption,</w:t>
      </w:r>
      <w:r>
        <w:rPr>
          <w:lang w:val="en-NZ"/>
        </w:rPr>
        <w:t xml:space="preserve"> taxpayers would still be able to argue that they did n</w:t>
      </w:r>
      <w:r w:rsidR="005E5C7E">
        <w:rPr>
          <w:lang w:val="en-NZ"/>
        </w:rPr>
        <w:t>ot have an intention of resale</w:t>
      </w:r>
      <w:r w:rsidR="00F16E3E">
        <w:rPr>
          <w:lang w:val="en-NZ"/>
        </w:rPr>
        <w:t>.  A</w:t>
      </w:r>
      <w:r w:rsidR="005E5C7E">
        <w:rPr>
          <w:lang w:val="en-NZ"/>
        </w:rPr>
        <w:t xml:space="preserve">s a result, this would </w:t>
      </w:r>
      <w:r w:rsidR="00544067">
        <w:rPr>
          <w:lang w:val="en-NZ"/>
        </w:rPr>
        <w:t>be materially the same as existing law and contain the same subjectivity and enforcement difficulties</w:t>
      </w:r>
      <w:r w:rsidR="005E5C7E">
        <w:rPr>
          <w:lang w:val="en-NZ"/>
        </w:rPr>
        <w:t>.</w:t>
      </w:r>
    </w:p>
    <w:p w:rsidR="007A674F" w:rsidRPr="00DB4CC5" w:rsidRDefault="007A674F" w:rsidP="007A674F">
      <w:pPr>
        <w:rPr>
          <w:lang w:val="en-NZ"/>
        </w:rPr>
      </w:pPr>
    </w:p>
    <w:p w:rsidR="007A674F" w:rsidRPr="00DB4CC5" w:rsidRDefault="007A674F" w:rsidP="007A674F">
      <w:pPr>
        <w:pStyle w:val="Heading2"/>
        <w:rPr>
          <w:lang w:val="en-NZ"/>
        </w:rPr>
      </w:pPr>
      <w:r w:rsidRPr="00DB4CC5">
        <w:rPr>
          <w:lang w:val="en-NZ"/>
        </w:rPr>
        <w:t>Recommendation</w:t>
      </w:r>
    </w:p>
    <w:p w:rsidR="007A674F" w:rsidRPr="00DB4CC5" w:rsidRDefault="007A674F" w:rsidP="007A674F">
      <w:pPr>
        <w:rPr>
          <w:lang w:val="en-NZ"/>
        </w:rPr>
      </w:pPr>
    </w:p>
    <w:p w:rsidR="007A674F" w:rsidRPr="00DB4CC5" w:rsidRDefault="007A674F" w:rsidP="007A674F">
      <w:pPr>
        <w:rPr>
          <w:lang w:val="en-NZ"/>
        </w:rPr>
      </w:pPr>
      <w:r w:rsidRPr="00DB4CC5">
        <w:rPr>
          <w:lang w:val="en-NZ"/>
        </w:rPr>
        <w:t xml:space="preserve">That the submission be </w:t>
      </w:r>
      <w:r>
        <w:rPr>
          <w:lang w:val="en-NZ"/>
        </w:rPr>
        <w:t>declined.</w:t>
      </w:r>
    </w:p>
    <w:p w:rsidR="007A674F" w:rsidRPr="00AD0CFC" w:rsidRDefault="007A674F" w:rsidP="007A674F">
      <w:pPr>
        <w:jc w:val="left"/>
      </w:pPr>
      <w:r>
        <w:br w:type="page"/>
      </w:r>
    </w:p>
    <w:p w:rsidR="000D3664" w:rsidRPr="00DB4CC5" w:rsidRDefault="001D49FE" w:rsidP="000D3664">
      <w:pPr>
        <w:pStyle w:val="Heading1"/>
      </w:pPr>
      <w:bookmarkStart w:id="8" w:name="_Toc432411896"/>
      <w:r>
        <w:t>Applying bright-line to other assets</w:t>
      </w:r>
      <w:bookmarkEnd w:id="8"/>
    </w:p>
    <w:p w:rsidR="000D3664" w:rsidRDefault="000D3664" w:rsidP="000D3664">
      <w:pPr>
        <w:rPr>
          <w:lang w:val="en-NZ"/>
        </w:rPr>
      </w:pPr>
    </w:p>
    <w:p w:rsidR="00BF1E36" w:rsidRDefault="00BF1E36" w:rsidP="00A842F0">
      <w:pPr>
        <w:pStyle w:val="Heading3"/>
        <w:rPr>
          <w:lang w:val="en-NZ"/>
        </w:rPr>
      </w:pPr>
      <w:r w:rsidRPr="008C4280">
        <w:rPr>
          <w:lang w:val="en-NZ"/>
        </w:rPr>
        <w:t>Clauses 4 to 15</w:t>
      </w:r>
    </w:p>
    <w:p w:rsidR="00BF1E36" w:rsidRPr="00DB4CC5" w:rsidRDefault="00BF1E36" w:rsidP="000D3664">
      <w:pPr>
        <w:rPr>
          <w:lang w:val="en-NZ"/>
        </w:rPr>
      </w:pPr>
    </w:p>
    <w:p w:rsidR="000D3664" w:rsidRPr="00DB4CC5" w:rsidRDefault="000D3664" w:rsidP="000D3664">
      <w:pPr>
        <w:rPr>
          <w:lang w:val="en-NZ"/>
        </w:rPr>
      </w:pPr>
    </w:p>
    <w:p w:rsidR="000D3664" w:rsidRPr="00DB4CC5" w:rsidRDefault="000D3664" w:rsidP="000D3664">
      <w:pPr>
        <w:pStyle w:val="Heading2"/>
        <w:rPr>
          <w:lang w:val="en-NZ"/>
        </w:rPr>
      </w:pPr>
      <w:r w:rsidRPr="00DB4CC5">
        <w:rPr>
          <w:lang w:val="en-NZ"/>
        </w:rPr>
        <w:t>Submission</w:t>
      </w:r>
    </w:p>
    <w:p w:rsidR="000D3664" w:rsidRPr="00DB4CC5" w:rsidRDefault="000D3664" w:rsidP="000D3664">
      <w:pPr>
        <w:pStyle w:val="Heading4"/>
        <w:rPr>
          <w:lang w:val="en-NZ"/>
        </w:rPr>
      </w:pPr>
      <w:r>
        <w:rPr>
          <w:lang w:val="en-NZ"/>
        </w:rPr>
        <w:t xml:space="preserve">(New Zealand Property Investors’ Federation </w:t>
      </w:r>
      <w:proofErr w:type="spellStart"/>
      <w:r>
        <w:rPr>
          <w:lang w:val="en-NZ"/>
        </w:rPr>
        <w:t>Inc</w:t>
      </w:r>
      <w:proofErr w:type="spellEnd"/>
      <w:r>
        <w:rPr>
          <w:lang w:val="en-NZ"/>
        </w:rPr>
        <w:t>)</w:t>
      </w:r>
    </w:p>
    <w:p w:rsidR="000D3664" w:rsidRPr="00DB4CC5" w:rsidRDefault="000D3664" w:rsidP="000D3664">
      <w:pPr>
        <w:tabs>
          <w:tab w:val="left" w:pos="5295"/>
        </w:tabs>
        <w:rPr>
          <w:lang w:val="en-NZ"/>
        </w:rPr>
      </w:pPr>
    </w:p>
    <w:p w:rsidR="000D3664" w:rsidRPr="00DB4CC5" w:rsidRDefault="000D3664" w:rsidP="000D3664">
      <w:pPr>
        <w:rPr>
          <w:lang w:val="en-NZ"/>
        </w:rPr>
      </w:pPr>
      <w:r>
        <w:rPr>
          <w:lang w:val="en-NZ"/>
        </w:rPr>
        <w:t>It is unfair that the bright-line test only applies to property investments</w:t>
      </w:r>
      <w:r w:rsidR="00F16E3E">
        <w:rPr>
          <w:lang w:val="en-NZ"/>
        </w:rPr>
        <w:t>.  T</w:t>
      </w:r>
      <w:r>
        <w:rPr>
          <w:lang w:val="en-NZ"/>
        </w:rPr>
        <w:t>here should be a bright-line test for share or business traders.</w:t>
      </w:r>
    </w:p>
    <w:p w:rsidR="000D3664" w:rsidRPr="00DB4CC5" w:rsidRDefault="000D3664" w:rsidP="000D3664">
      <w:pPr>
        <w:rPr>
          <w:lang w:val="en-NZ"/>
        </w:rPr>
      </w:pPr>
    </w:p>
    <w:p w:rsidR="000D3664" w:rsidRPr="00DB4CC5" w:rsidRDefault="000D3664" w:rsidP="000D3664">
      <w:pPr>
        <w:pStyle w:val="Heading2"/>
        <w:rPr>
          <w:lang w:val="en-NZ"/>
        </w:rPr>
      </w:pPr>
      <w:r w:rsidRPr="00DB4CC5">
        <w:rPr>
          <w:lang w:val="en-NZ"/>
        </w:rPr>
        <w:t>Comment</w:t>
      </w:r>
    </w:p>
    <w:p w:rsidR="000D3664" w:rsidRPr="00DB4CC5" w:rsidRDefault="000D3664" w:rsidP="000D3664">
      <w:pPr>
        <w:rPr>
          <w:lang w:val="en-NZ"/>
        </w:rPr>
      </w:pPr>
    </w:p>
    <w:p w:rsidR="000D3664" w:rsidRPr="00DB4CC5" w:rsidRDefault="000D3664" w:rsidP="000D3664">
      <w:pPr>
        <w:rPr>
          <w:lang w:val="en-NZ"/>
        </w:rPr>
      </w:pPr>
      <w:r>
        <w:rPr>
          <w:lang w:val="en-NZ"/>
        </w:rPr>
        <w:t>The bright-line test is intended to address the problems of enforcing the land sale rules in the situation of high</w:t>
      </w:r>
      <w:r w:rsidR="00FE3C61">
        <w:rPr>
          <w:lang w:val="en-NZ"/>
        </w:rPr>
        <w:t xml:space="preserve"> turnover </w:t>
      </w:r>
      <w:r>
        <w:rPr>
          <w:lang w:val="en-NZ"/>
        </w:rPr>
        <w:t>of residential property.</w:t>
      </w:r>
    </w:p>
    <w:p w:rsidR="000D3664" w:rsidRPr="00DB4CC5" w:rsidRDefault="000D3664" w:rsidP="000D3664">
      <w:pPr>
        <w:rPr>
          <w:lang w:val="en-NZ"/>
        </w:rPr>
      </w:pPr>
    </w:p>
    <w:p w:rsidR="000D3664" w:rsidRPr="00DB4CC5" w:rsidRDefault="000D3664" w:rsidP="000D3664">
      <w:pPr>
        <w:pStyle w:val="Heading2"/>
        <w:rPr>
          <w:lang w:val="en-NZ"/>
        </w:rPr>
      </w:pPr>
      <w:r w:rsidRPr="00DB4CC5">
        <w:rPr>
          <w:lang w:val="en-NZ"/>
        </w:rPr>
        <w:t>Recommendation</w:t>
      </w:r>
    </w:p>
    <w:p w:rsidR="000D3664" w:rsidRPr="00DB4CC5" w:rsidRDefault="000D3664" w:rsidP="000D3664">
      <w:pPr>
        <w:rPr>
          <w:lang w:val="en-NZ"/>
        </w:rPr>
      </w:pPr>
    </w:p>
    <w:p w:rsidR="000D3664" w:rsidRPr="00DB4CC5" w:rsidRDefault="000D3664" w:rsidP="000D3664">
      <w:pPr>
        <w:rPr>
          <w:lang w:val="en-NZ"/>
        </w:rPr>
      </w:pPr>
      <w:r w:rsidRPr="00DB4CC5">
        <w:rPr>
          <w:lang w:val="en-NZ"/>
        </w:rPr>
        <w:t xml:space="preserve">That the submission be </w:t>
      </w:r>
      <w:r>
        <w:rPr>
          <w:lang w:val="en-NZ"/>
        </w:rPr>
        <w:t>declined.</w:t>
      </w:r>
    </w:p>
    <w:p w:rsidR="000D3664" w:rsidRPr="00AD0CFC" w:rsidRDefault="000D3664">
      <w:pPr>
        <w:jc w:val="left"/>
      </w:pPr>
      <w:r>
        <w:br w:type="page"/>
      </w:r>
    </w:p>
    <w:p w:rsidR="00DB207C" w:rsidRPr="00DB4CC5" w:rsidRDefault="00DB207C" w:rsidP="00DB207C">
      <w:pPr>
        <w:pStyle w:val="Heading1"/>
      </w:pPr>
      <w:bookmarkStart w:id="9" w:name="_Toc432411897"/>
      <w:r>
        <w:t>Legislative coherence</w:t>
      </w:r>
      <w:bookmarkEnd w:id="9"/>
    </w:p>
    <w:p w:rsidR="00DB207C" w:rsidRDefault="00DB207C" w:rsidP="00DB207C">
      <w:pPr>
        <w:rPr>
          <w:lang w:val="en-NZ"/>
        </w:rPr>
      </w:pPr>
    </w:p>
    <w:p w:rsidR="00BF1E36" w:rsidRDefault="00BF1E36" w:rsidP="00A842F0">
      <w:pPr>
        <w:pStyle w:val="Heading3"/>
        <w:rPr>
          <w:lang w:val="en-NZ"/>
        </w:rPr>
      </w:pPr>
      <w:r w:rsidRPr="008C4280">
        <w:rPr>
          <w:lang w:val="en-NZ"/>
        </w:rPr>
        <w:t>Clauses 4 to 15</w:t>
      </w:r>
    </w:p>
    <w:p w:rsidR="00BF1E36" w:rsidRDefault="00BF1E36" w:rsidP="00DB207C">
      <w:pPr>
        <w:rPr>
          <w:lang w:val="en-NZ"/>
        </w:rPr>
      </w:pPr>
    </w:p>
    <w:p w:rsidR="00DB207C" w:rsidRPr="00DB4CC5" w:rsidRDefault="00DB207C" w:rsidP="00DB207C">
      <w:pPr>
        <w:rPr>
          <w:lang w:val="en-NZ"/>
        </w:rPr>
      </w:pPr>
    </w:p>
    <w:p w:rsidR="00DB207C" w:rsidRPr="00DB4CC5" w:rsidRDefault="00DB207C" w:rsidP="00DB207C">
      <w:pPr>
        <w:pStyle w:val="Heading5"/>
        <w:ind w:left="794" w:hanging="794"/>
        <w:rPr>
          <w:lang w:val="en-NZ"/>
        </w:rPr>
      </w:pPr>
      <w:bookmarkStart w:id="10" w:name="_Toc432411898"/>
      <w:r w:rsidRPr="00DB4CC5">
        <w:rPr>
          <w:lang w:val="en-NZ"/>
        </w:rPr>
        <w:t>Issue:</w:t>
      </w:r>
      <w:r w:rsidRPr="00DB4CC5">
        <w:rPr>
          <w:lang w:val="en-NZ"/>
        </w:rPr>
        <w:tab/>
      </w:r>
      <w:r>
        <w:rPr>
          <w:lang w:val="en-NZ"/>
        </w:rPr>
        <w:t>Coherence of reforms</w:t>
      </w:r>
      <w:bookmarkEnd w:id="10"/>
    </w:p>
    <w:p w:rsidR="00DB207C" w:rsidRPr="00DB4CC5" w:rsidRDefault="00DB207C" w:rsidP="00DB207C">
      <w:pPr>
        <w:rPr>
          <w:lang w:val="en-NZ"/>
        </w:rPr>
      </w:pPr>
    </w:p>
    <w:p w:rsidR="00DB207C" w:rsidRPr="00DB4CC5" w:rsidRDefault="00DB207C" w:rsidP="00DB207C">
      <w:pPr>
        <w:rPr>
          <w:lang w:val="en-NZ"/>
        </w:rPr>
      </w:pPr>
    </w:p>
    <w:p w:rsidR="00DB207C" w:rsidRPr="00DB4CC5" w:rsidRDefault="00DB207C" w:rsidP="00DB207C">
      <w:pPr>
        <w:pStyle w:val="Heading2"/>
        <w:rPr>
          <w:lang w:val="en-NZ"/>
        </w:rPr>
      </w:pPr>
      <w:r w:rsidRPr="00DB4CC5">
        <w:rPr>
          <w:lang w:val="en-NZ"/>
        </w:rPr>
        <w:t>Submission</w:t>
      </w:r>
      <w:r w:rsidR="00FE3C61">
        <w:rPr>
          <w:lang w:val="en-NZ"/>
        </w:rPr>
        <w:t>s</w:t>
      </w:r>
    </w:p>
    <w:p w:rsidR="00DB207C" w:rsidRPr="00DB4CC5" w:rsidRDefault="00DB207C" w:rsidP="00DB207C">
      <w:pPr>
        <w:pStyle w:val="Heading4"/>
        <w:rPr>
          <w:lang w:val="en-NZ"/>
        </w:rPr>
      </w:pPr>
      <w:r>
        <w:rPr>
          <w:lang w:val="en-NZ"/>
        </w:rPr>
        <w:t>(Chartered Accountants Australia</w:t>
      </w:r>
      <w:r w:rsidR="00FE3C61">
        <w:rPr>
          <w:lang w:val="en-NZ"/>
        </w:rPr>
        <w:t xml:space="preserve"> and</w:t>
      </w:r>
      <w:r>
        <w:rPr>
          <w:lang w:val="en-NZ"/>
        </w:rPr>
        <w:t xml:space="preserve"> New Zealand, KPMG)</w:t>
      </w:r>
    </w:p>
    <w:p w:rsidR="00DB207C" w:rsidRPr="00DB4CC5" w:rsidRDefault="00DB207C" w:rsidP="00DB207C">
      <w:pPr>
        <w:tabs>
          <w:tab w:val="left" w:pos="5295"/>
        </w:tabs>
        <w:rPr>
          <w:lang w:val="en-NZ"/>
        </w:rPr>
      </w:pPr>
    </w:p>
    <w:p w:rsidR="00DB207C" w:rsidRDefault="00DB207C" w:rsidP="00DB207C">
      <w:pPr>
        <w:rPr>
          <w:lang w:val="en-NZ"/>
        </w:rPr>
      </w:pPr>
      <w:r>
        <w:rPr>
          <w:lang w:val="en-NZ"/>
        </w:rPr>
        <w:t>The bright-line test is the second of the three stages of reform package to the taxation of land (with the first being the recent information requirements in the Taxation (Land Information and Offshore Persons</w:t>
      </w:r>
      <w:r w:rsidR="00787052">
        <w:rPr>
          <w:lang w:val="en-NZ"/>
        </w:rPr>
        <w:t xml:space="preserve"> Information</w:t>
      </w:r>
      <w:r>
        <w:rPr>
          <w:lang w:val="en-NZ"/>
        </w:rPr>
        <w:t>) Bill and the third being the proposed residential land withholding tax).</w:t>
      </w:r>
    </w:p>
    <w:p w:rsidR="00DB207C" w:rsidRDefault="00DB207C" w:rsidP="00DB207C">
      <w:pPr>
        <w:rPr>
          <w:lang w:val="en-NZ"/>
        </w:rPr>
      </w:pPr>
    </w:p>
    <w:p w:rsidR="00DB207C" w:rsidRDefault="00DB207C" w:rsidP="00DB207C">
      <w:pPr>
        <w:rPr>
          <w:lang w:val="en-NZ"/>
        </w:rPr>
      </w:pPr>
      <w:r>
        <w:rPr>
          <w:lang w:val="en-NZ"/>
        </w:rPr>
        <w:t xml:space="preserve">The Select Committee should undertake a review of the reforms included in the three </w:t>
      </w:r>
      <w:r w:rsidR="00A33881">
        <w:rPr>
          <w:lang w:val="en-NZ"/>
        </w:rPr>
        <w:t>b</w:t>
      </w:r>
      <w:r>
        <w:rPr>
          <w:lang w:val="en-NZ"/>
        </w:rPr>
        <w:t xml:space="preserve">ills to ensure that the reforms form a coherent whole. </w:t>
      </w:r>
      <w:r w:rsidRPr="009B557D">
        <w:rPr>
          <w:i/>
          <w:lang w:val="en-NZ"/>
        </w:rPr>
        <w:t>(Chartered Accountants Australia</w:t>
      </w:r>
      <w:r w:rsidR="00FE3C61">
        <w:rPr>
          <w:i/>
          <w:lang w:val="en-NZ"/>
        </w:rPr>
        <w:t xml:space="preserve"> and</w:t>
      </w:r>
      <w:r w:rsidRPr="009B557D">
        <w:rPr>
          <w:i/>
          <w:lang w:val="en-NZ"/>
        </w:rPr>
        <w:t xml:space="preserve"> New Zealand)</w:t>
      </w:r>
    </w:p>
    <w:p w:rsidR="00DB207C" w:rsidRDefault="00DB207C" w:rsidP="00DB207C">
      <w:pPr>
        <w:rPr>
          <w:lang w:val="en-NZ"/>
        </w:rPr>
      </w:pPr>
    </w:p>
    <w:p w:rsidR="00DB207C" w:rsidRDefault="00DB207C" w:rsidP="00DB207C">
      <w:pPr>
        <w:rPr>
          <w:lang w:val="en-NZ"/>
        </w:rPr>
      </w:pPr>
      <w:r>
        <w:rPr>
          <w:lang w:val="en-NZ"/>
        </w:rPr>
        <w:t xml:space="preserve">The coherence and consistency of the overall policy should be considered as part of the </w:t>
      </w:r>
      <w:r w:rsidR="00A33881">
        <w:rPr>
          <w:lang w:val="en-NZ"/>
        </w:rPr>
        <w:t>b</w:t>
      </w:r>
      <w:r>
        <w:rPr>
          <w:lang w:val="en-NZ"/>
        </w:rPr>
        <w:t>ill containing the residential land withholding tax</w:t>
      </w:r>
      <w:r w:rsidR="00F16E3E">
        <w:rPr>
          <w:lang w:val="en-NZ"/>
        </w:rPr>
        <w:t>.  I</w:t>
      </w:r>
      <w:r>
        <w:rPr>
          <w:lang w:val="en-NZ"/>
        </w:rPr>
        <w:t xml:space="preserve">f necessary, remedial amendments for the first and second parts should be considered as part of that </w:t>
      </w:r>
      <w:r w:rsidR="00FE1072">
        <w:rPr>
          <w:lang w:val="en-NZ"/>
        </w:rPr>
        <w:t>b</w:t>
      </w:r>
      <w:r>
        <w:rPr>
          <w:lang w:val="en-NZ"/>
        </w:rPr>
        <w:t xml:space="preserve">ill. </w:t>
      </w:r>
      <w:r w:rsidRPr="001D49FE">
        <w:rPr>
          <w:i/>
          <w:lang w:val="en-NZ"/>
        </w:rPr>
        <w:t>(KPMG)</w:t>
      </w:r>
    </w:p>
    <w:p w:rsidR="00DB207C" w:rsidRPr="00DB4CC5" w:rsidRDefault="00DB207C" w:rsidP="00DB207C">
      <w:pPr>
        <w:rPr>
          <w:lang w:val="en-NZ"/>
        </w:rPr>
      </w:pPr>
    </w:p>
    <w:p w:rsidR="00DB207C" w:rsidRPr="00DB4CC5" w:rsidRDefault="00DB207C" w:rsidP="00DB207C">
      <w:pPr>
        <w:pStyle w:val="Heading2"/>
        <w:rPr>
          <w:lang w:val="en-NZ"/>
        </w:rPr>
      </w:pPr>
      <w:r w:rsidRPr="00DB4CC5">
        <w:rPr>
          <w:lang w:val="en-NZ"/>
        </w:rPr>
        <w:t>Comment</w:t>
      </w:r>
    </w:p>
    <w:p w:rsidR="00DB207C" w:rsidRPr="00DB4CC5" w:rsidRDefault="00DB207C" w:rsidP="00DB207C">
      <w:pPr>
        <w:rPr>
          <w:lang w:val="en-NZ"/>
        </w:rPr>
      </w:pPr>
    </w:p>
    <w:p w:rsidR="00DB207C" w:rsidRDefault="00DB207C" w:rsidP="00DB207C">
      <w:pPr>
        <w:rPr>
          <w:lang w:val="en-NZ"/>
        </w:rPr>
      </w:pPr>
      <w:r>
        <w:rPr>
          <w:lang w:val="en-NZ"/>
        </w:rPr>
        <w:t>A post-implementation review is a recognised part of the generic tax policy process.</w:t>
      </w:r>
    </w:p>
    <w:p w:rsidR="00DB207C" w:rsidRDefault="00DB207C" w:rsidP="00DB207C">
      <w:pPr>
        <w:rPr>
          <w:lang w:val="en-NZ"/>
        </w:rPr>
      </w:pPr>
    </w:p>
    <w:p w:rsidR="00DB207C" w:rsidRDefault="003714CC" w:rsidP="00DB207C">
      <w:pPr>
        <w:rPr>
          <w:lang w:val="en-NZ"/>
        </w:rPr>
      </w:pPr>
      <w:r>
        <w:rPr>
          <w:lang w:val="en-NZ"/>
        </w:rPr>
        <w:t xml:space="preserve">We consider that the </w:t>
      </w:r>
      <w:r w:rsidR="00FE1072">
        <w:rPr>
          <w:lang w:val="en-NZ"/>
        </w:rPr>
        <w:t>b</w:t>
      </w:r>
      <w:r>
        <w:rPr>
          <w:lang w:val="en-NZ"/>
        </w:rPr>
        <w:t xml:space="preserve">ill containing the proposed residential land withholding tax </w:t>
      </w:r>
      <w:r w:rsidR="00E46CBB">
        <w:rPr>
          <w:lang w:val="en-NZ"/>
        </w:rPr>
        <w:t xml:space="preserve">will </w:t>
      </w:r>
      <w:r w:rsidR="005E795A">
        <w:rPr>
          <w:lang w:val="en-NZ"/>
        </w:rPr>
        <w:t xml:space="preserve">provide an opportunity to consider any amendments to the bright-line test that would assist in </w:t>
      </w:r>
      <w:r w:rsidR="00F46824">
        <w:rPr>
          <w:lang w:val="en-NZ"/>
        </w:rPr>
        <w:t xml:space="preserve">maintaining </w:t>
      </w:r>
      <w:r w:rsidR="005E795A">
        <w:rPr>
          <w:lang w:val="en-NZ"/>
        </w:rPr>
        <w:t xml:space="preserve">coherence with </w:t>
      </w:r>
      <w:r w:rsidR="00F46824">
        <w:rPr>
          <w:lang w:val="en-NZ"/>
        </w:rPr>
        <w:t>the other</w:t>
      </w:r>
      <w:r w:rsidR="005E795A">
        <w:rPr>
          <w:lang w:val="en-NZ"/>
        </w:rPr>
        <w:t xml:space="preserve"> reforms.</w:t>
      </w:r>
    </w:p>
    <w:p w:rsidR="00DB207C" w:rsidRPr="00DB4CC5" w:rsidRDefault="00DB207C" w:rsidP="00DB207C">
      <w:pPr>
        <w:rPr>
          <w:lang w:val="en-NZ"/>
        </w:rPr>
      </w:pPr>
    </w:p>
    <w:p w:rsidR="00DB207C" w:rsidRPr="00DB4CC5" w:rsidRDefault="00DB207C" w:rsidP="00DB207C">
      <w:pPr>
        <w:pStyle w:val="Heading2"/>
        <w:rPr>
          <w:lang w:val="en-NZ"/>
        </w:rPr>
      </w:pPr>
      <w:r w:rsidRPr="00DB4CC5">
        <w:rPr>
          <w:lang w:val="en-NZ"/>
        </w:rPr>
        <w:t>Recommendation</w:t>
      </w:r>
    </w:p>
    <w:p w:rsidR="00DB207C" w:rsidRPr="00DB4CC5" w:rsidRDefault="00DB207C" w:rsidP="00DB207C">
      <w:pPr>
        <w:rPr>
          <w:lang w:val="en-NZ"/>
        </w:rPr>
      </w:pPr>
    </w:p>
    <w:p w:rsidR="00DB207C" w:rsidRPr="00DB4CC5" w:rsidRDefault="00DB207C" w:rsidP="00DB207C">
      <w:pPr>
        <w:rPr>
          <w:lang w:val="en-NZ"/>
        </w:rPr>
      </w:pPr>
      <w:r w:rsidRPr="00DB4CC5">
        <w:rPr>
          <w:lang w:val="en-NZ"/>
        </w:rPr>
        <w:t>That the submission</w:t>
      </w:r>
      <w:r w:rsidR="00FE1072">
        <w:rPr>
          <w:lang w:val="en-NZ"/>
        </w:rPr>
        <w:t>s</w:t>
      </w:r>
      <w:r w:rsidRPr="00DB4CC5">
        <w:rPr>
          <w:lang w:val="en-NZ"/>
        </w:rPr>
        <w:t xml:space="preserve"> be </w:t>
      </w:r>
      <w:r>
        <w:rPr>
          <w:lang w:val="en-NZ"/>
        </w:rPr>
        <w:t>noted.</w:t>
      </w:r>
    </w:p>
    <w:p w:rsidR="00DB207C" w:rsidRPr="00DB4CC5" w:rsidRDefault="00DB207C" w:rsidP="00DB207C">
      <w:pPr>
        <w:pBdr>
          <w:bottom w:val="single" w:sz="4" w:space="1" w:color="auto"/>
        </w:pBdr>
        <w:rPr>
          <w:lang w:val="en-NZ"/>
        </w:rPr>
      </w:pPr>
    </w:p>
    <w:p w:rsidR="00DB207C" w:rsidRDefault="00DB207C" w:rsidP="00DB207C">
      <w:pPr>
        <w:rPr>
          <w:lang w:val="en-NZ"/>
        </w:rPr>
      </w:pPr>
    </w:p>
    <w:p w:rsidR="007E7996" w:rsidRPr="00DB4CC5" w:rsidRDefault="007E7996" w:rsidP="00DB207C">
      <w:pPr>
        <w:rPr>
          <w:lang w:val="en-NZ"/>
        </w:rPr>
      </w:pPr>
    </w:p>
    <w:p w:rsidR="00DB207C" w:rsidRPr="00DB4CC5" w:rsidRDefault="00DB207C" w:rsidP="00DB207C">
      <w:pPr>
        <w:pStyle w:val="Heading5"/>
        <w:ind w:left="794" w:hanging="794"/>
        <w:rPr>
          <w:lang w:val="en-NZ"/>
        </w:rPr>
      </w:pPr>
      <w:bookmarkStart w:id="11" w:name="_Toc432411899"/>
      <w:r w:rsidRPr="00DB4CC5">
        <w:rPr>
          <w:lang w:val="en-NZ"/>
        </w:rPr>
        <w:t>Issue:</w:t>
      </w:r>
      <w:r w:rsidRPr="00DB4CC5">
        <w:rPr>
          <w:lang w:val="en-NZ"/>
        </w:rPr>
        <w:tab/>
      </w:r>
      <w:r>
        <w:rPr>
          <w:lang w:val="en-NZ"/>
        </w:rPr>
        <w:t>Coherence with current land rules</w:t>
      </w:r>
      <w:bookmarkEnd w:id="11"/>
    </w:p>
    <w:p w:rsidR="00DB207C" w:rsidRPr="00DB4CC5" w:rsidRDefault="00DB207C" w:rsidP="00DB207C">
      <w:pPr>
        <w:rPr>
          <w:lang w:val="en-NZ"/>
        </w:rPr>
      </w:pPr>
    </w:p>
    <w:p w:rsidR="00DB207C" w:rsidRPr="00DB4CC5" w:rsidRDefault="00DB207C" w:rsidP="00DB207C">
      <w:pPr>
        <w:rPr>
          <w:lang w:val="en-NZ"/>
        </w:rPr>
      </w:pPr>
    </w:p>
    <w:p w:rsidR="00DB207C" w:rsidRPr="00DB4CC5" w:rsidRDefault="00DB207C" w:rsidP="00DB207C">
      <w:pPr>
        <w:pStyle w:val="Heading2"/>
        <w:rPr>
          <w:lang w:val="en-NZ"/>
        </w:rPr>
      </w:pPr>
      <w:r w:rsidRPr="00DB4CC5">
        <w:rPr>
          <w:lang w:val="en-NZ"/>
        </w:rPr>
        <w:t>Submission</w:t>
      </w:r>
    </w:p>
    <w:p w:rsidR="00DB207C" w:rsidRPr="00DB4CC5" w:rsidRDefault="001479BF" w:rsidP="00DB207C">
      <w:pPr>
        <w:pStyle w:val="Heading4"/>
        <w:rPr>
          <w:lang w:val="en-NZ"/>
        </w:rPr>
      </w:pPr>
      <w:r>
        <w:rPr>
          <w:lang w:val="en-NZ"/>
        </w:rPr>
        <w:t>(</w:t>
      </w:r>
      <w:r w:rsidR="00DB207C">
        <w:rPr>
          <w:lang w:val="en-NZ"/>
        </w:rPr>
        <w:t>Chartered Accountants Australia</w:t>
      </w:r>
      <w:r w:rsidR="00FE1072">
        <w:rPr>
          <w:lang w:val="en-NZ"/>
        </w:rPr>
        <w:t xml:space="preserve"> and</w:t>
      </w:r>
      <w:r w:rsidR="00DB207C">
        <w:rPr>
          <w:lang w:val="en-NZ"/>
        </w:rPr>
        <w:t xml:space="preserve"> New Zealand</w:t>
      </w:r>
      <w:r>
        <w:rPr>
          <w:lang w:val="en-NZ"/>
        </w:rPr>
        <w:t>)</w:t>
      </w:r>
    </w:p>
    <w:p w:rsidR="00DB207C" w:rsidRDefault="00DB207C" w:rsidP="00DB207C">
      <w:pPr>
        <w:rPr>
          <w:lang w:val="en-NZ"/>
        </w:rPr>
      </w:pPr>
    </w:p>
    <w:p w:rsidR="00DB207C" w:rsidRPr="00DB4CC5" w:rsidRDefault="00DB207C" w:rsidP="00DB207C">
      <w:pPr>
        <w:rPr>
          <w:lang w:val="en-NZ"/>
        </w:rPr>
      </w:pPr>
      <w:r>
        <w:rPr>
          <w:lang w:val="en-NZ"/>
        </w:rPr>
        <w:t>The concepts underlying the bright-line test and the other reforms and the definitions relied on should be consistent with those in the current land rules.</w:t>
      </w:r>
    </w:p>
    <w:p w:rsidR="00DB207C" w:rsidRPr="00DB4CC5" w:rsidRDefault="00DB207C" w:rsidP="00DB207C">
      <w:pPr>
        <w:rPr>
          <w:lang w:val="en-NZ"/>
        </w:rPr>
      </w:pPr>
    </w:p>
    <w:p w:rsidR="0065103F" w:rsidRDefault="0065103F">
      <w:pPr>
        <w:jc w:val="left"/>
        <w:rPr>
          <w:b/>
          <w:lang w:val="en-NZ"/>
        </w:rPr>
      </w:pPr>
      <w:r>
        <w:rPr>
          <w:lang w:val="en-NZ"/>
        </w:rPr>
        <w:br w:type="page"/>
      </w:r>
    </w:p>
    <w:p w:rsidR="00DB207C" w:rsidRPr="00DB4CC5" w:rsidRDefault="00DB207C" w:rsidP="00DB207C">
      <w:pPr>
        <w:pStyle w:val="Heading2"/>
        <w:rPr>
          <w:lang w:val="en-NZ"/>
        </w:rPr>
      </w:pPr>
      <w:r w:rsidRPr="00DB4CC5">
        <w:rPr>
          <w:lang w:val="en-NZ"/>
        </w:rPr>
        <w:t>Comment</w:t>
      </w:r>
    </w:p>
    <w:p w:rsidR="00DB207C" w:rsidRPr="00DB4CC5" w:rsidRDefault="00DB207C" w:rsidP="00DB207C">
      <w:pPr>
        <w:rPr>
          <w:lang w:val="en-NZ"/>
        </w:rPr>
      </w:pPr>
    </w:p>
    <w:p w:rsidR="00DB207C" w:rsidRDefault="00DB207C" w:rsidP="00DB207C">
      <w:pPr>
        <w:rPr>
          <w:lang w:val="en-NZ"/>
        </w:rPr>
      </w:pPr>
      <w:r>
        <w:rPr>
          <w:lang w:val="en-NZ"/>
        </w:rPr>
        <w:t>In the design of the bright-line test we have used existing land rules where possible.</w:t>
      </w:r>
    </w:p>
    <w:p w:rsidR="00DB207C" w:rsidRDefault="00DB207C" w:rsidP="00DB207C">
      <w:pPr>
        <w:rPr>
          <w:lang w:val="en-NZ"/>
        </w:rPr>
      </w:pPr>
    </w:p>
    <w:p w:rsidR="00DB207C" w:rsidRDefault="00DB207C" w:rsidP="00DB207C">
      <w:pPr>
        <w:rPr>
          <w:lang w:val="en-NZ"/>
        </w:rPr>
      </w:pPr>
      <w:r>
        <w:rPr>
          <w:lang w:val="en-NZ"/>
        </w:rPr>
        <w:t>However, as submitters have noted there are some areas of departure for the bright-line test.</w:t>
      </w:r>
    </w:p>
    <w:p w:rsidR="00DB207C" w:rsidRDefault="00DB207C" w:rsidP="00DB207C">
      <w:pPr>
        <w:rPr>
          <w:lang w:val="en-NZ"/>
        </w:rPr>
      </w:pPr>
    </w:p>
    <w:p w:rsidR="00DB207C" w:rsidRDefault="00DB207C" w:rsidP="00DB207C">
      <w:pPr>
        <w:rPr>
          <w:lang w:val="en-NZ"/>
        </w:rPr>
      </w:pPr>
      <w:r>
        <w:rPr>
          <w:lang w:val="en-NZ"/>
        </w:rPr>
        <w:t>We consider that these areas of departure are necessary to ensure that the bright-line test meets its goal of being an easy to enforce rule.</w:t>
      </w:r>
    </w:p>
    <w:p w:rsidR="00644EFA" w:rsidRDefault="00644EFA" w:rsidP="00DB207C">
      <w:pPr>
        <w:rPr>
          <w:lang w:val="en-NZ"/>
        </w:rPr>
      </w:pPr>
    </w:p>
    <w:p w:rsidR="00644EFA" w:rsidRPr="00DB4CC5" w:rsidRDefault="005E3DAC" w:rsidP="00DB207C">
      <w:pPr>
        <w:rPr>
          <w:lang w:val="en-NZ"/>
        </w:rPr>
      </w:pPr>
      <w:r>
        <w:rPr>
          <w:lang w:val="en-NZ"/>
        </w:rPr>
        <w:t>For example, t</w:t>
      </w:r>
      <w:r w:rsidR="00FE1072">
        <w:rPr>
          <w:lang w:val="en-NZ"/>
        </w:rPr>
        <w:t>he</w:t>
      </w:r>
      <w:r w:rsidR="00644EFA">
        <w:rPr>
          <w:lang w:val="en-NZ"/>
        </w:rPr>
        <w:t xml:space="preserve"> current “residential exclusion” in</w:t>
      </w:r>
      <w:r w:rsidR="00FE1072">
        <w:rPr>
          <w:lang w:val="en-NZ"/>
        </w:rPr>
        <w:t xml:space="preserve"> section</w:t>
      </w:r>
      <w:r w:rsidR="00644EFA">
        <w:rPr>
          <w:lang w:val="en-NZ"/>
        </w:rPr>
        <w:t xml:space="preserve"> CB 16 is not fit for bright-line purposes</w:t>
      </w:r>
      <w:r w:rsidR="00F16E3E">
        <w:rPr>
          <w:lang w:val="en-NZ"/>
        </w:rPr>
        <w:t>.  T</w:t>
      </w:r>
      <w:r w:rsidR="00644EFA">
        <w:rPr>
          <w:lang w:val="en-NZ"/>
        </w:rPr>
        <w:t>he existing “residential exclusion” is not limited to one property</w:t>
      </w:r>
      <w:r w:rsidR="00F16E3E">
        <w:rPr>
          <w:lang w:val="en-NZ"/>
        </w:rPr>
        <w:t>.  A</w:t>
      </w:r>
      <w:r w:rsidR="00644EFA">
        <w:rPr>
          <w:lang w:val="en-NZ"/>
        </w:rPr>
        <w:t xml:space="preserve"> person may use the exception for both their main home as well as their bach or holiday house</w:t>
      </w:r>
      <w:r w:rsidR="00F16E3E">
        <w:rPr>
          <w:lang w:val="en-NZ"/>
        </w:rPr>
        <w:t>.  I</w:t>
      </w:r>
      <w:r w:rsidR="00644EFA">
        <w:rPr>
          <w:lang w:val="en-NZ"/>
        </w:rPr>
        <w:t>n addition, a person can use trusts to obtain the “residential exclusion” a multitude of times for properties that the person does not live in.</w:t>
      </w:r>
    </w:p>
    <w:p w:rsidR="00DB207C" w:rsidRPr="00DB4CC5" w:rsidRDefault="00DB207C" w:rsidP="00DB207C">
      <w:pPr>
        <w:rPr>
          <w:lang w:val="en-NZ"/>
        </w:rPr>
      </w:pPr>
    </w:p>
    <w:p w:rsidR="00DB207C" w:rsidRPr="00DB4CC5" w:rsidRDefault="00DB207C" w:rsidP="00DB207C">
      <w:pPr>
        <w:pStyle w:val="Heading2"/>
        <w:rPr>
          <w:lang w:val="en-NZ"/>
        </w:rPr>
      </w:pPr>
      <w:r w:rsidRPr="00DB4CC5">
        <w:rPr>
          <w:lang w:val="en-NZ"/>
        </w:rPr>
        <w:t>Recommendation</w:t>
      </w:r>
    </w:p>
    <w:p w:rsidR="00DB207C" w:rsidRPr="00DB4CC5" w:rsidRDefault="00DB207C" w:rsidP="00DB207C">
      <w:pPr>
        <w:rPr>
          <w:lang w:val="en-NZ"/>
        </w:rPr>
      </w:pPr>
    </w:p>
    <w:p w:rsidR="00DB207C" w:rsidRPr="00DB4CC5" w:rsidRDefault="00DB207C" w:rsidP="00DB207C">
      <w:pPr>
        <w:rPr>
          <w:lang w:val="en-NZ"/>
        </w:rPr>
      </w:pPr>
      <w:r w:rsidRPr="00DB4CC5">
        <w:rPr>
          <w:lang w:val="en-NZ"/>
        </w:rPr>
        <w:t xml:space="preserve">That the submission be </w:t>
      </w:r>
      <w:r w:rsidR="00FE1072">
        <w:rPr>
          <w:lang w:val="en-NZ"/>
        </w:rPr>
        <w:t>declined</w:t>
      </w:r>
      <w:r w:rsidR="00742779">
        <w:rPr>
          <w:lang w:val="en-NZ"/>
        </w:rPr>
        <w:t>.</w:t>
      </w:r>
    </w:p>
    <w:p w:rsidR="00DB207C" w:rsidRDefault="00DB207C" w:rsidP="00DB207C">
      <w:pPr>
        <w:jc w:val="left"/>
        <w:rPr>
          <w:lang w:val="en-NZ"/>
        </w:rPr>
      </w:pPr>
      <w:r>
        <w:rPr>
          <w:lang w:val="en-NZ"/>
        </w:rPr>
        <w:br w:type="page"/>
      </w:r>
    </w:p>
    <w:p w:rsidR="00DB207C" w:rsidRPr="00DB4CC5" w:rsidRDefault="00DB207C" w:rsidP="00DB207C">
      <w:pPr>
        <w:pStyle w:val="Heading1"/>
      </w:pPr>
      <w:bookmarkStart w:id="12" w:name="_Toc432411900"/>
      <w:r>
        <w:t>Timeframe for submissions</w:t>
      </w:r>
      <w:bookmarkEnd w:id="12"/>
    </w:p>
    <w:p w:rsidR="00DB207C" w:rsidRDefault="00DB207C" w:rsidP="00DB207C">
      <w:pPr>
        <w:rPr>
          <w:lang w:val="en-NZ"/>
        </w:rPr>
      </w:pPr>
    </w:p>
    <w:p w:rsidR="00BF1E36" w:rsidRDefault="00BF1E36" w:rsidP="00A842F0">
      <w:pPr>
        <w:pStyle w:val="Heading3"/>
        <w:rPr>
          <w:lang w:val="en-NZ"/>
        </w:rPr>
      </w:pPr>
      <w:r w:rsidRPr="008C4280">
        <w:rPr>
          <w:lang w:val="en-NZ"/>
        </w:rPr>
        <w:t>Clauses 4 to 15</w:t>
      </w:r>
    </w:p>
    <w:p w:rsidR="00BF1E36" w:rsidRDefault="00BF1E36" w:rsidP="00DB207C">
      <w:pPr>
        <w:rPr>
          <w:lang w:val="en-NZ"/>
        </w:rPr>
      </w:pPr>
    </w:p>
    <w:p w:rsidR="00DB207C" w:rsidRPr="00DB4CC5" w:rsidRDefault="00DB207C" w:rsidP="00DB207C">
      <w:pPr>
        <w:rPr>
          <w:lang w:val="en-NZ"/>
        </w:rPr>
      </w:pPr>
    </w:p>
    <w:p w:rsidR="00DB207C" w:rsidRPr="00DB4CC5" w:rsidRDefault="00DB207C" w:rsidP="00DB207C">
      <w:pPr>
        <w:pStyle w:val="Heading2"/>
        <w:rPr>
          <w:lang w:val="en-NZ"/>
        </w:rPr>
      </w:pPr>
      <w:r w:rsidRPr="00DB4CC5">
        <w:rPr>
          <w:lang w:val="en-NZ"/>
        </w:rPr>
        <w:t>Submission</w:t>
      </w:r>
    </w:p>
    <w:p w:rsidR="00DB207C" w:rsidRPr="00DB4CC5" w:rsidRDefault="00DB207C" w:rsidP="00DB207C">
      <w:pPr>
        <w:pStyle w:val="Heading4"/>
        <w:rPr>
          <w:lang w:val="en-NZ"/>
        </w:rPr>
      </w:pPr>
      <w:r>
        <w:rPr>
          <w:lang w:val="en-NZ"/>
        </w:rPr>
        <w:t>(New Zealand Law Society)</w:t>
      </w:r>
    </w:p>
    <w:p w:rsidR="00DB207C" w:rsidRPr="00DB4CC5" w:rsidRDefault="00DB207C" w:rsidP="00DB207C">
      <w:pPr>
        <w:tabs>
          <w:tab w:val="left" w:pos="5295"/>
        </w:tabs>
        <w:rPr>
          <w:lang w:val="en-NZ"/>
        </w:rPr>
      </w:pPr>
    </w:p>
    <w:p w:rsidR="00DB207C" w:rsidRPr="00DB4CC5" w:rsidRDefault="00DB207C" w:rsidP="00DB207C">
      <w:pPr>
        <w:rPr>
          <w:lang w:val="en-NZ"/>
        </w:rPr>
      </w:pPr>
      <w:r>
        <w:rPr>
          <w:lang w:val="en-NZ"/>
        </w:rPr>
        <w:t>The period for making submission should be extended so that proper consideration can be given to the proposed reforms.</w:t>
      </w:r>
    </w:p>
    <w:p w:rsidR="00DB207C" w:rsidRPr="00DB4CC5" w:rsidRDefault="00DB207C" w:rsidP="00DB207C">
      <w:pPr>
        <w:rPr>
          <w:lang w:val="en-NZ"/>
        </w:rPr>
      </w:pPr>
    </w:p>
    <w:p w:rsidR="00DB207C" w:rsidRPr="00DB4CC5" w:rsidRDefault="00DB207C" w:rsidP="00DB207C">
      <w:pPr>
        <w:pStyle w:val="Heading2"/>
        <w:rPr>
          <w:lang w:val="en-NZ"/>
        </w:rPr>
      </w:pPr>
      <w:r w:rsidRPr="00DB4CC5">
        <w:rPr>
          <w:lang w:val="en-NZ"/>
        </w:rPr>
        <w:t>Comment</w:t>
      </w:r>
    </w:p>
    <w:p w:rsidR="00DB207C" w:rsidRDefault="00DB207C" w:rsidP="00DB207C">
      <w:pPr>
        <w:rPr>
          <w:lang w:val="en-NZ"/>
        </w:rPr>
      </w:pPr>
    </w:p>
    <w:p w:rsidR="00DB207C" w:rsidRPr="00DB4CC5" w:rsidRDefault="00DB207C" w:rsidP="00DB207C">
      <w:pPr>
        <w:rPr>
          <w:lang w:val="en-NZ"/>
        </w:rPr>
      </w:pPr>
      <w:r>
        <w:rPr>
          <w:lang w:val="en-NZ"/>
        </w:rPr>
        <w:t>The bright-line test is intended to apply to land acquired and disposed after 1 October 2015</w:t>
      </w:r>
      <w:r w:rsidR="00F16E3E">
        <w:rPr>
          <w:lang w:val="en-NZ"/>
        </w:rPr>
        <w:t>.  A</w:t>
      </w:r>
      <w:r>
        <w:rPr>
          <w:lang w:val="en-NZ"/>
        </w:rPr>
        <w:t xml:space="preserve"> longer submission period would result in enactment being delayed and the degree of </w:t>
      </w:r>
      <w:proofErr w:type="spellStart"/>
      <w:r>
        <w:rPr>
          <w:lang w:val="en-NZ"/>
        </w:rPr>
        <w:t>retrospectivity</w:t>
      </w:r>
      <w:proofErr w:type="spellEnd"/>
      <w:r>
        <w:rPr>
          <w:lang w:val="en-NZ"/>
        </w:rPr>
        <w:t xml:space="preserve"> of the bill would increase.</w:t>
      </w:r>
    </w:p>
    <w:p w:rsidR="00DB207C" w:rsidRPr="00DB4CC5" w:rsidRDefault="00DB207C" w:rsidP="00DB207C">
      <w:pPr>
        <w:rPr>
          <w:lang w:val="en-NZ"/>
        </w:rPr>
      </w:pPr>
    </w:p>
    <w:p w:rsidR="00DB207C" w:rsidRPr="00DB4CC5" w:rsidRDefault="00DB207C" w:rsidP="00DB207C">
      <w:pPr>
        <w:pStyle w:val="Heading2"/>
        <w:rPr>
          <w:lang w:val="en-NZ"/>
        </w:rPr>
      </w:pPr>
      <w:r w:rsidRPr="00DB4CC5">
        <w:rPr>
          <w:lang w:val="en-NZ"/>
        </w:rPr>
        <w:t>Recommendation</w:t>
      </w:r>
    </w:p>
    <w:p w:rsidR="00DB207C" w:rsidRPr="00DB4CC5" w:rsidRDefault="00DB207C" w:rsidP="00DB207C">
      <w:pPr>
        <w:rPr>
          <w:lang w:val="en-NZ"/>
        </w:rPr>
      </w:pPr>
    </w:p>
    <w:p w:rsidR="00DB207C" w:rsidRPr="00DB4CC5" w:rsidRDefault="00DB207C" w:rsidP="00DB207C">
      <w:pPr>
        <w:rPr>
          <w:lang w:val="en-NZ"/>
        </w:rPr>
      </w:pPr>
      <w:r w:rsidRPr="00DB4CC5">
        <w:rPr>
          <w:lang w:val="en-NZ"/>
        </w:rPr>
        <w:t xml:space="preserve">That the submission be </w:t>
      </w:r>
      <w:r>
        <w:rPr>
          <w:lang w:val="en-NZ"/>
        </w:rPr>
        <w:t>declined.</w:t>
      </w:r>
    </w:p>
    <w:p w:rsidR="00DB207C" w:rsidRDefault="00DB207C">
      <w:pPr>
        <w:jc w:val="left"/>
      </w:pPr>
      <w:r>
        <w:br w:type="page"/>
      </w:r>
    </w:p>
    <w:p w:rsidR="002E77DC" w:rsidRPr="00DB4CC5" w:rsidRDefault="002E77DC" w:rsidP="002E77DC">
      <w:pPr>
        <w:pStyle w:val="Heading1"/>
      </w:pPr>
      <w:bookmarkStart w:id="13" w:name="_Toc432411901"/>
      <w:r>
        <w:t>Alternative design of bright-line test</w:t>
      </w:r>
      <w:bookmarkEnd w:id="13"/>
    </w:p>
    <w:p w:rsidR="002E77DC" w:rsidRDefault="002E77DC" w:rsidP="002E77DC">
      <w:pPr>
        <w:rPr>
          <w:lang w:val="en-NZ"/>
        </w:rPr>
      </w:pPr>
    </w:p>
    <w:p w:rsidR="00BF1E36" w:rsidRDefault="00BF1E36" w:rsidP="00A842F0">
      <w:pPr>
        <w:pStyle w:val="Heading3"/>
        <w:rPr>
          <w:lang w:val="en-NZ"/>
        </w:rPr>
      </w:pPr>
      <w:r w:rsidRPr="009B557D">
        <w:rPr>
          <w:lang w:val="en-NZ"/>
        </w:rPr>
        <w:t>Clauses 4 to 15</w:t>
      </w:r>
    </w:p>
    <w:p w:rsidR="002E77DC" w:rsidRPr="00DB4CC5" w:rsidRDefault="002E77DC" w:rsidP="002E77DC">
      <w:pPr>
        <w:rPr>
          <w:lang w:val="en-NZ"/>
        </w:rPr>
      </w:pPr>
    </w:p>
    <w:p w:rsidR="002E77DC" w:rsidRPr="00DB4CC5" w:rsidRDefault="002E77DC" w:rsidP="002E77DC">
      <w:pPr>
        <w:rPr>
          <w:lang w:val="en-NZ"/>
        </w:rPr>
      </w:pPr>
    </w:p>
    <w:p w:rsidR="002E77DC" w:rsidRPr="00DB4CC5" w:rsidRDefault="002E77DC" w:rsidP="002E77DC">
      <w:pPr>
        <w:pStyle w:val="Heading2"/>
        <w:rPr>
          <w:lang w:val="en-NZ"/>
        </w:rPr>
      </w:pPr>
      <w:r w:rsidRPr="00DB4CC5">
        <w:rPr>
          <w:lang w:val="en-NZ"/>
        </w:rPr>
        <w:t>Submission</w:t>
      </w:r>
    </w:p>
    <w:p w:rsidR="002E77DC" w:rsidRPr="00DB4CC5" w:rsidRDefault="002E77DC" w:rsidP="002E77DC">
      <w:pPr>
        <w:pStyle w:val="Heading4"/>
        <w:rPr>
          <w:lang w:val="en-NZ"/>
        </w:rPr>
      </w:pPr>
      <w:r>
        <w:rPr>
          <w:lang w:val="en-NZ"/>
        </w:rPr>
        <w:t>(Chartered Accountants Australia</w:t>
      </w:r>
      <w:r w:rsidR="00AF5E94">
        <w:rPr>
          <w:lang w:val="en-NZ"/>
        </w:rPr>
        <w:t xml:space="preserve"> and</w:t>
      </w:r>
      <w:r>
        <w:rPr>
          <w:lang w:val="en-NZ"/>
        </w:rPr>
        <w:t xml:space="preserve"> New Zealand, EY)</w:t>
      </w:r>
    </w:p>
    <w:p w:rsidR="002E77DC" w:rsidRDefault="002E77DC" w:rsidP="002E77DC">
      <w:pPr>
        <w:rPr>
          <w:lang w:val="en-NZ"/>
        </w:rPr>
      </w:pPr>
    </w:p>
    <w:p w:rsidR="002E77DC" w:rsidRDefault="002E77DC" w:rsidP="002E77DC">
      <w:pPr>
        <w:rPr>
          <w:lang w:val="en-NZ"/>
        </w:rPr>
      </w:pPr>
      <w:r>
        <w:rPr>
          <w:lang w:val="en-NZ"/>
        </w:rPr>
        <w:t>The Government could achieve its key policy objective of supplementing the “intention test” more simply and coherently by amending section CB 6</w:t>
      </w:r>
      <w:r w:rsidR="00F16E3E">
        <w:rPr>
          <w:lang w:val="en-NZ"/>
        </w:rPr>
        <w:t>.  T</w:t>
      </w:r>
      <w:r>
        <w:rPr>
          <w:lang w:val="en-NZ"/>
        </w:rPr>
        <w:t>his could provide that whe</w:t>
      </w:r>
      <w:r w:rsidR="00C50BFC">
        <w:rPr>
          <w:lang w:val="en-NZ"/>
        </w:rPr>
        <w:t>n</w:t>
      </w:r>
      <w:r>
        <w:rPr>
          <w:lang w:val="en-NZ"/>
        </w:rPr>
        <w:t xml:space="preserve"> any land is disposed of within two years of acquisition that land is treated as if it were acquired with the purpose or intention of disposing of it.</w:t>
      </w:r>
    </w:p>
    <w:p w:rsidR="002E77DC" w:rsidRDefault="002E77DC" w:rsidP="002E77DC">
      <w:pPr>
        <w:rPr>
          <w:lang w:val="en-NZ"/>
        </w:rPr>
      </w:pPr>
    </w:p>
    <w:p w:rsidR="002E77DC" w:rsidRDefault="002E77DC" w:rsidP="002E77DC">
      <w:pPr>
        <w:rPr>
          <w:lang w:val="en-NZ"/>
        </w:rPr>
      </w:pPr>
      <w:r>
        <w:rPr>
          <w:lang w:val="en-NZ"/>
        </w:rPr>
        <w:t>Differences between the proposed bright-line test and the current land sale rules are likely to increase uncertainty and cause confusion</w:t>
      </w:r>
      <w:r w:rsidR="00F16E3E">
        <w:rPr>
          <w:lang w:val="en-NZ"/>
        </w:rPr>
        <w:t>.  I</w:t>
      </w:r>
      <w:r>
        <w:rPr>
          <w:lang w:val="en-NZ"/>
        </w:rPr>
        <w:t>nstead</w:t>
      </w:r>
      <w:r w:rsidR="00C50BFC">
        <w:rPr>
          <w:lang w:val="en-NZ"/>
        </w:rPr>
        <w:t>,</w:t>
      </w:r>
      <w:r>
        <w:rPr>
          <w:lang w:val="en-NZ"/>
        </w:rPr>
        <w:t xml:space="preserve"> the current rules regarding </w:t>
      </w:r>
      <w:r w:rsidR="00C50BFC">
        <w:rPr>
          <w:lang w:val="en-NZ"/>
        </w:rPr>
        <w:t xml:space="preserve">section </w:t>
      </w:r>
      <w:r>
        <w:rPr>
          <w:lang w:val="en-NZ"/>
        </w:rPr>
        <w:t>CB 6 and intention should be used.</w:t>
      </w:r>
    </w:p>
    <w:p w:rsidR="002E77DC" w:rsidRPr="00DB4CC5" w:rsidRDefault="002E77DC" w:rsidP="002E77DC">
      <w:pPr>
        <w:rPr>
          <w:lang w:val="en-NZ"/>
        </w:rPr>
      </w:pPr>
    </w:p>
    <w:p w:rsidR="002E77DC" w:rsidRPr="00DB4CC5" w:rsidRDefault="002E77DC" w:rsidP="002E77DC">
      <w:pPr>
        <w:pStyle w:val="Heading2"/>
        <w:rPr>
          <w:lang w:val="en-NZ"/>
        </w:rPr>
      </w:pPr>
      <w:r w:rsidRPr="00DB4CC5">
        <w:rPr>
          <w:lang w:val="en-NZ"/>
        </w:rPr>
        <w:t>Comment</w:t>
      </w:r>
    </w:p>
    <w:p w:rsidR="002E77DC" w:rsidRPr="00DB4CC5" w:rsidRDefault="002E77DC" w:rsidP="002E77DC">
      <w:pPr>
        <w:rPr>
          <w:lang w:val="en-NZ"/>
        </w:rPr>
      </w:pPr>
    </w:p>
    <w:p w:rsidR="002E77DC" w:rsidRDefault="002E77DC" w:rsidP="002E77DC">
      <w:pPr>
        <w:rPr>
          <w:lang w:val="en-NZ"/>
        </w:rPr>
      </w:pPr>
      <w:r>
        <w:rPr>
          <w:lang w:val="en-NZ"/>
        </w:rPr>
        <w:t>The proposed design differs from the current design in many ways</w:t>
      </w:r>
      <w:r w:rsidR="00F16E3E">
        <w:rPr>
          <w:lang w:val="en-NZ"/>
        </w:rPr>
        <w:t>.  T</w:t>
      </w:r>
      <w:r>
        <w:rPr>
          <w:lang w:val="en-NZ"/>
        </w:rPr>
        <w:t>his includes the scope of land that the bright-line test applies to as well as other areas such as the ability to claim losses.</w:t>
      </w:r>
    </w:p>
    <w:p w:rsidR="002E77DC" w:rsidRDefault="002E77DC" w:rsidP="002E77DC">
      <w:pPr>
        <w:rPr>
          <w:lang w:val="en-NZ"/>
        </w:rPr>
      </w:pPr>
    </w:p>
    <w:p w:rsidR="002E77DC" w:rsidRDefault="002E77DC" w:rsidP="002E77DC">
      <w:pPr>
        <w:rPr>
          <w:lang w:val="en-NZ"/>
        </w:rPr>
      </w:pPr>
      <w:r>
        <w:rPr>
          <w:lang w:val="en-NZ"/>
        </w:rPr>
        <w:t>For the reasons outlined we believe that the design of these features needs to be different from the intention test</w:t>
      </w:r>
      <w:r w:rsidR="00F16E3E">
        <w:rPr>
          <w:lang w:val="en-NZ"/>
        </w:rPr>
        <w:t>.  G</w:t>
      </w:r>
      <w:r>
        <w:rPr>
          <w:lang w:val="en-NZ"/>
        </w:rPr>
        <w:t>enerally this is to ensure that the bright-line test meets its goal of being an easy to enforce rule.</w:t>
      </w:r>
    </w:p>
    <w:p w:rsidR="00DC0CEF" w:rsidRDefault="00DC0CEF" w:rsidP="002E77DC">
      <w:pPr>
        <w:rPr>
          <w:lang w:val="en-NZ"/>
        </w:rPr>
      </w:pPr>
    </w:p>
    <w:p w:rsidR="00DC0CEF" w:rsidRPr="00DB4CC5" w:rsidRDefault="00DC0CEF" w:rsidP="002E77DC">
      <w:pPr>
        <w:rPr>
          <w:lang w:val="en-NZ"/>
        </w:rPr>
      </w:pPr>
      <w:r>
        <w:rPr>
          <w:lang w:val="en-NZ"/>
        </w:rPr>
        <w:t>For example</w:t>
      </w:r>
      <w:r w:rsidR="0016140A">
        <w:rPr>
          <w:lang w:val="en-NZ"/>
        </w:rPr>
        <w:t>,</w:t>
      </w:r>
      <w:r>
        <w:rPr>
          <w:lang w:val="en-NZ"/>
        </w:rPr>
        <w:t xml:space="preserve"> as outlined for </w:t>
      </w:r>
      <w:r>
        <w:rPr>
          <w:i/>
          <w:lang w:val="en-NZ"/>
        </w:rPr>
        <w:t>Issue: Coherence with current land rules</w:t>
      </w:r>
      <w:r w:rsidR="0016140A">
        <w:rPr>
          <w:lang w:val="en-NZ"/>
        </w:rPr>
        <w:t>,</w:t>
      </w:r>
      <w:r>
        <w:rPr>
          <w:lang w:val="en-NZ"/>
        </w:rPr>
        <w:t xml:space="preserve"> </w:t>
      </w:r>
      <w:r w:rsidR="0016140A">
        <w:rPr>
          <w:lang w:val="en-NZ"/>
        </w:rPr>
        <w:t>t</w:t>
      </w:r>
      <w:r>
        <w:rPr>
          <w:lang w:val="en-NZ"/>
        </w:rPr>
        <w:t>he current rules regarding the “residential exclusion” are not fit for purpose and can result in a person obtaining the main home exception multiple times.</w:t>
      </w:r>
    </w:p>
    <w:p w:rsidR="002E77DC" w:rsidRPr="00DB4CC5" w:rsidRDefault="002E77DC" w:rsidP="002E77DC">
      <w:pPr>
        <w:rPr>
          <w:lang w:val="en-NZ"/>
        </w:rPr>
      </w:pPr>
    </w:p>
    <w:p w:rsidR="002E77DC" w:rsidRPr="00DB4CC5" w:rsidRDefault="002E77DC" w:rsidP="002E77DC">
      <w:pPr>
        <w:pStyle w:val="Heading2"/>
        <w:rPr>
          <w:lang w:val="en-NZ"/>
        </w:rPr>
      </w:pPr>
      <w:r w:rsidRPr="00DB4CC5">
        <w:rPr>
          <w:lang w:val="en-NZ"/>
        </w:rPr>
        <w:t>Recommendation</w:t>
      </w:r>
    </w:p>
    <w:p w:rsidR="002E77DC" w:rsidRPr="00DB4CC5" w:rsidRDefault="002E77DC" w:rsidP="002E77DC">
      <w:pPr>
        <w:rPr>
          <w:lang w:val="en-NZ"/>
        </w:rPr>
      </w:pPr>
    </w:p>
    <w:p w:rsidR="002E77DC" w:rsidRPr="00DB4CC5" w:rsidRDefault="002E77DC" w:rsidP="002E77DC">
      <w:pPr>
        <w:rPr>
          <w:lang w:val="en-NZ"/>
        </w:rPr>
      </w:pPr>
      <w:r w:rsidRPr="00DB4CC5">
        <w:rPr>
          <w:lang w:val="en-NZ"/>
        </w:rPr>
        <w:t xml:space="preserve">That the submission be </w:t>
      </w:r>
      <w:r>
        <w:rPr>
          <w:lang w:val="en-NZ"/>
        </w:rPr>
        <w:t>declined.</w:t>
      </w:r>
    </w:p>
    <w:p w:rsidR="009267AB" w:rsidRDefault="009267AB">
      <w:pPr>
        <w:jc w:val="left"/>
      </w:pPr>
      <w:r>
        <w:br w:type="page"/>
      </w:r>
    </w:p>
    <w:p w:rsidR="00C873C6" w:rsidRPr="00DB4CC5" w:rsidRDefault="00C873C6" w:rsidP="00C873C6">
      <w:pPr>
        <w:pStyle w:val="Heading1"/>
      </w:pPr>
      <w:bookmarkStart w:id="14" w:name="_Toc432411902"/>
      <w:r>
        <w:t>Ord</w:t>
      </w:r>
      <w:r w:rsidR="00935299">
        <w:t>er and status of proposed secti</w:t>
      </w:r>
      <w:r>
        <w:t>o</w:t>
      </w:r>
      <w:r w:rsidR="00935299">
        <w:t>n</w:t>
      </w:r>
      <w:r>
        <w:t xml:space="preserve"> CB 6A</w:t>
      </w:r>
      <w:bookmarkEnd w:id="14"/>
    </w:p>
    <w:p w:rsidR="00C873C6" w:rsidRPr="00DB4CC5" w:rsidRDefault="00C873C6" w:rsidP="00C873C6">
      <w:pPr>
        <w:rPr>
          <w:lang w:val="en-NZ"/>
        </w:rPr>
      </w:pPr>
    </w:p>
    <w:p w:rsidR="00C873C6" w:rsidRDefault="00C873C6" w:rsidP="00C873C6">
      <w:pPr>
        <w:pStyle w:val="Heading3"/>
        <w:rPr>
          <w:lang w:val="en-NZ"/>
        </w:rPr>
      </w:pPr>
      <w:r>
        <w:rPr>
          <w:lang w:val="en-NZ"/>
        </w:rPr>
        <w:t>Clause 4</w:t>
      </w:r>
    </w:p>
    <w:p w:rsidR="00C873C6" w:rsidRDefault="00C873C6" w:rsidP="00C873C6">
      <w:pPr>
        <w:rPr>
          <w:lang w:val="en-NZ"/>
        </w:rPr>
      </w:pPr>
    </w:p>
    <w:p w:rsidR="00C873C6" w:rsidRPr="00DB4CC5" w:rsidRDefault="00C873C6" w:rsidP="00C873C6">
      <w:pPr>
        <w:rPr>
          <w:lang w:val="en-NZ"/>
        </w:rPr>
      </w:pPr>
    </w:p>
    <w:p w:rsidR="00C873C6" w:rsidRPr="00DB4CC5" w:rsidRDefault="00C873C6" w:rsidP="00C873C6">
      <w:pPr>
        <w:pStyle w:val="Heading5"/>
        <w:ind w:left="794" w:hanging="794"/>
        <w:rPr>
          <w:lang w:val="en-NZ"/>
        </w:rPr>
      </w:pPr>
      <w:bookmarkStart w:id="15" w:name="_Toc432411903"/>
      <w:r w:rsidRPr="00DB4CC5">
        <w:rPr>
          <w:lang w:val="en-NZ"/>
        </w:rPr>
        <w:t>Issue:</w:t>
      </w:r>
      <w:r w:rsidRPr="00DB4CC5">
        <w:rPr>
          <w:lang w:val="en-NZ"/>
        </w:rPr>
        <w:tab/>
      </w:r>
      <w:r>
        <w:rPr>
          <w:lang w:val="en-NZ"/>
        </w:rPr>
        <w:t>Ordering of sections</w:t>
      </w:r>
      <w:bookmarkEnd w:id="15"/>
    </w:p>
    <w:p w:rsidR="00C873C6" w:rsidRPr="00DB4CC5" w:rsidRDefault="00C873C6" w:rsidP="00C873C6">
      <w:pPr>
        <w:rPr>
          <w:lang w:val="en-NZ"/>
        </w:rPr>
      </w:pPr>
    </w:p>
    <w:p w:rsidR="00C873C6" w:rsidRPr="00DB4CC5" w:rsidRDefault="00C873C6" w:rsidP="00C873C6">
      <w:pPr>
        <w:rPr>
          <w:lang w:val="en-NZ"/>
        </w:rPr>
      </w:pPr>
    </w:p>
    <w:p w:rsidR="00C873C6" w:rsidRPr="00DB4CC5" w:rsidRDefault="00C873C6" w:rsidP="00C873C6">
      <w:pPr>
        <w:pStyle w:val="Heading2"/>
        <w:rPr>
          <w:lang w:val="en-NZ"/>
        </w:rPr>
      </w:pPr>
      <w:r w:rsidRPr="00DB4CC5">
        <w:rPr>
          <w:lang w:val="en-NZ"/>
        </w:rPr>
        <w:t>Submission</w:t>
      </w:r>
    </w:p>
    <w:p w:rsidR="00C873C6" w:rsidRPr="00DB4CC5" w:rsidRDefault="00C873C6" w:rsidP="00C873C6">
      <w:pPr>
        <w:pStyle w:val="Heading4"/>
        <w:rPr>
          <w:lang w:val="en-NZ"/>
        </w:rPr>
      </w:pPr>
      <w:r>
        <w:rPr>
          <w:lang w:val="en-NZ"/>
        </w:rPr>
        <w:t>(Chartered Accountants Australia</w:t>
      </w:r>
      <w:r w:rsidR="00B2760B">
        <w:rPr>
          <w:lang w:val="en-NZ"/>
        </w:rPr>
        <w:t xml:space="preserve"> and</w:t>
      </w:r>
      <w:r>
        <w:rPr>
          <w:lang w:val="en-NZ"/>
        </w:rPr>
        <w:t xml:space="preserve"> New Zealand, </w:t>
      </w:r>
      <w:r w:rsidR="000A4493">
        <w:rPr>
          <w:lang w:val="en-NZ"/>
        </w:rPr>
        <w:t>P</w:t>
      </w:r>
      <w:r>
        <w:rPr>
          <w:lang w:val="en-NZ"/>
        </w:rPr>
        <w:t>w</w:t>
      </w:r>
      <w:r w:rsidR="000A4493">
        <w:rPr>
          <w:lang w:val="en-NZ"/>
        </w:rPr>
        <w:t>C</w:t>
      </w:r>
      <w:r>
        <w:rPr>
          <w:lang w:val="en-NZ"/>
        </w:rPr>
        <w:t>)</w:t>
      </w:r>
    </w:p>
    <w:p w:rsidR="00C873C6" w:rsidRDefault="00C873C6" w:rsidP="00C873C6">
      <w:pPr>
        <w:rPr>
          <w:lang w:val="en-NZ"/>
        </w:rPr>
      </w:pPr>
    </w:p>
    <w:p w:rsidR="00C873C6" w:rsidRDefault="00C873C6" w:rsidP="00C873C6">
      <w:pPr>
        <w:rPr>
          <w:lang w:val="en-NZ"/>
        </w:rPr>
      </w:pPr>
      <w:r>
        <w:rPr>
          <w:lang w:val="en-NZ"/>
        </w:rPr>
        <w:t>The proposed section CB 6A supplements section CB 6 and</w:t>
      </w:r>
      <w:r w:rsidR="000A4493">
        <w:rPr>
          <w:lang w:val="en-NZ"/>
        </w:rPr>
        <w:t>,</w:t>
      </w:r>
      <w:r>
        <w:rPr>
          <w:lang w:val="en-NZ"/>
        </w:rPr>
        <w:t xml:space="preserve"> as a result</w:t>
      </w:r>
      <w:r w:rsidR="000A4493">
        <w:rPr>
          <w:lang w:val="en-NZ"/>
        </w:rPr>
        <w:t>,</w:t>
      </w:r>
      <w:r>
        <w:rPr>
          <w:lang w:val="en-NZ"/>
        </w:rPr>
        <w:t xml:space="preserve"> should follow rather than precede it.</w:t>
      </w:r>
    </w:p>
    <w:p w:rsidR="00C873C6" w:rsidRDefault="00C873C6" w:rsidP="00C873C6">
      <w:pPr>
        <w:rPr>
          <w:lang w:val="en-NZ"/>
        </w:rPr>
      </w:pPr>
    </w:p>
    <w:p w:rsidR="00C873C6" w:rsidRPr="00DB4CC5" w:rsidRDefault="00C873C6" w:rsidP="00C873C6">
      <w:pPr>
        <w:rPr>
          <w:lang w:val="en-NZ"/>
        </w:rPr>
      </w:pPr>
      <w:r>
        <w:rPr>
          <w:lang w:val="en-NZ"/>
        </w:rPr>
        <w:t>Furthermore, p</w:t>
      </w:r>
      <w:r w:rsidR="00C75A8C">
        <w:rPr>
          <w:lang w:val="en-NZ"/>
        </w:rPr>
        <w:t>ositioning an inserted section “CB 6A”</w:t>
      </w:r>
      <w:r>
        <w:rPr>
          <w:lang w:val="en-NZ"/>
        </w:rPr>
        <w:t xml:space="preserve"> before section CB 6 seems to go against the numbering convention normally followed in the tax legislation.</w:t>
      </w:r>
    </w:p>
    <w:p w:rsidR="00C873C6" w:rsidRPr="00DB4CC5" w:rsidRDefault="00C873C6" w:rsidP="00C873C6">
      <w:pPr>
        <w:rPr>
          <w:lang w:val="en-NZ"/>
        </w:rPr>
      </w:pPr>
    </w:p>
    <w:p w:rsidR="00C873C6" w:rsidRPr="00DB4CC5" w:rsidRDefault="00C873C6" w:rsidP="00C873C6">
      <w:pPr>
        <w:pStyle w:val="Heading2"/>
        <w:rPr>
          <w:lang w:val="en-NZ"/>
        </w:rPr>
      </w:pPr>
      <w:r w:rsidRPr="00DB4CC5">
        <w:rPr>
          <w:lang w:val="en-NZ"/>
        </w:rPr>
        <w:t>Comment</w:t>
      </w:r>
    </w:p>
    <w:p w:rsidR="00C873C6" w:rsidRPr="00DB4CC5" w:rsidRDefault="00C873C6" w:rsidP="00C873C6">
      <w:pPr>
        <w:rPr>
          <w:lang w:val="en-NZ"/>
        </w:rPr>
      </w:pPr>
    </w:p>
    <w:p w:rsidR="00C873C6" w:rsidRDefault="00C873C6" w:rsidP="00C873C6">
      <w:pPr>
        <w:rPr>
          <w:lang w:val="en-NZ"/>
        </w:rPr>
      </w:pPr>
      <w:r>
        <w:rPr>
          <w:lang w:val="en-NZ"/>
        </w:rPr>
        <w:t>The position of</w:t>
      </w:r>
      <w:r w:rsidR="000A4493">
        <w:rPr>
          <w:lang w:val="en-NZ"/>
        </w:rPr>
        <w:t xml:space="preserve"> section</w:t>
      </w:r>
      <w:r>
        <w:rPr>
          <w:lang w:val="en-NZ"/>
        </w:rPr>
        <w:t xml:space="preserve"> CB 6A provides greater clarity in how the existing provisions relating to the land sale rules apply to the bright-line</w:t>
      </w:r>
      <w:r w:rsidR="00F16E3E">
        <w:rPr>
          <w:lang w:val="en-NZ"/>
        </w:rPr>
        <w:t>.  W</w:t>
      </w:r>
      <w:r>
        <w:rPr>
          <w:lang w:val="en-NZ"/>
        </w:rPr>
        <w:t>here existing provisions currently refer to</w:t>
      </w:r>
      <w:r w:rsidR="000A4493">
        <w:rPr>
          <w:lang w:val="en-NZ"/>
        </w:rPr>
        <w:t xml:space="preserve"> section</w:t>
      </w:r>
      <w:r>
        <w:rPr>
          <w:lang w:val="en-NZ"/>
        </w:rPr>
        <w:t xml:space="preserve"> “CB 6</w:t>
      </w:r>
      <w:r w:rsidR="000A4493">
        <w:rPr>
          <w:lang w:val="en-NZ"/>
        </w:rPr>
        <w:t xml:space="preserve"> to </w:t>
      </w:r>
      <w:r>
        <w:rPr>
          <w:lang w:val="en-NZ"/>
        </w:rPr>
        <w:t>CB 14” it will be clear whether they are intended to apply to the bright-line as they will instead refer to</w:t>
      </w:r>
      <w:r w:rsidR="000A4493">
        <w:rPr>
          <w:lang w:val="en-NZ"/>
        </w:rPr>
        <w:t xml:space="preserve"> section</w:t>
      </w:r>
      <w:r>
        <w:rPr>
          <w:lang w:val="en-NZ"/>
        </w:rPr>
        <w:t xml:space="preserve"> “CB 6A</w:t>
      </w:r>
      <w:r w:rsidR="000A4493">
        <w:rPr>
          <w:lang w:val="en-NZ"/>
        </w:rPr>
        <w:t xml:space="preserve"> to </w:t>
      </w:r>
      <w:r>
        <w:rPr>
          <w:lang w:val="en-NZ"/>
        </w:rPr>
        <w:t>CB</w:t>
      </w:r>
      <w:r w:rsidR="001D49FE">
        <w:rPr>
          <w:lang w:val="en-NZ"/>
        </w:rPr>
        <w:t xml:space="preserve"> </w:t>
      </w:r>
      <w:r>
        <w:rPr>
          <w:lang w:val="en-NZ"/>
        </w:rPr>
        <w:t>14”.</w:t>
      </w:r>
    </w:p>
    <w:p w:rsidR="00C873C6" w:rsidRDefault="00C873C6" w:rsidP="00C873C6">
      <w:pPr>
        <w:rPr>
          <w:lang w:val="en-NZ"/>
        </w:rPr>
      </w:pPr>
    </w:p>
    <w:p w:rsidR="00C873C6" w:rsidRPr="00DB4CC5" w:rsidRDefault="000A4493" w:rsidP="00C873C6">
      <w:pPr>
        <w:rPr>
          <w:lang w:val="en-NZ"/>
        </w:rPr>
      </w:pPr>
      <w:r>
        <w:rPr>
          <w:lang w:val="en-NZ"/>
        </w:rPr>
        <w:t>T</w:t>
      </w:r>
      <w:r w:rsidR="00C873C6">
        <w:rPr>
          <w:lang w:val="en-NZ"/>
        </w:rPr>
        <w:t>he correct numbering convention for tax bills</w:t>
      </w:r>
      <w:r>
        <w:rPr>
          <w:lang w:val="en-NZ"/>
        </w:rPr>
        <w:t xml:space="preserve"> is being followed</w:t>
      </w:r>
      <w:r w:rsidR="00C873C6">
        <w:rPr>
          <w:lang w:val="en-NZ"/>
        </w:rPr>
        <w:t xml:space="preserve"> by placing</w:t>
      </w:r>
      <w:r>
        <w:rPr>
          <w:lang w:val="en-NZ"/>
        </w:rPr>
        <w:t xml:space="preserve"> section</w:t>
      </w:r>
      <w:r w:rsidR="00C873C6">
        <w:rPr>
          <w:lang w:val="en-NZ"/>
        </w:rPr>
        <w:t xml:space="preserve"> CB 6A before</w:t>
      </w:r>
      <w:r>
        <w:rPr>
          <w:lang w:val="en-NZ"/>
        </w:rPr>
        <w:t xml:space="preserve"> section</w:t>
      </w:r>
      <w:r w:rsidR="00C873C6">
        <w:rPr>
          <w:lang w:val="en-NZ"/>
        </w:rPr>
        <w:t xml:space="preserve"> CB 6.</w:t>
      </w:r>
    </w:p>
    <w:p w:rsidR="00C873C6" w:rsidRPr="00DB4CC5" w:rsidRDefault="00C873C6" w:rsidP="00C873C6">
      <w:pPr>
        <w:rPr>
          <w:lang w:val="en-NZ"/>
        </w:rPr>
      </w:pPr>
    </w:p>
    <w:p w:rsidR="00C873C6" w:rsidRPr="00DB4CC5" w:rsidRDefault="00C873C6" w:rsidP="00C873C6">
      <w:pPr>
        <w:pStyle w:val="Heading2"/>
        <w:rPr>
          <w:lang w:val="en-NZ"/>
        </w:rPr>
      </w:pPr>
      <w:r w:rsidRPr="00DB4CC5">
        <w:rPr>
          <w:lang w:val="en-NZ"/>
        </w:rPr>
        <w:t>Recommendation</w:t>
      </w:r>
    </w:p>
    <w:p w:rsidR="00C873C6" w:rsidRPr="00DB4CC5" w:rsidRDefault="00C873C6" w:rsidP="00C873C6">
      <w:pPr>
        <w:rPr>
          <w:lang w:val="en-NZ"/>
        </w:rPr>
      </w:pPr>
    </w:p>
    <w:p w:rsidR="00C873C6" w:rsidRPr="00DB4CC5" w:rsidRDefault="00C873C6" w:rsidP="00C873C6">
      <w:pPr>
        <w:rPr>
          <w:lang w:val="en-NZ"/>
        </w:rPr>
      </w:pPr>
      <w:r w:rsidRPr="00DB4CC5">
        <w:rPr>
          <w:lang w:val="en-NZ"/>
        </w:rPr>
        <w:t xml:space="preserve">That the submission be </w:t>
      </w:r>
      <w:r>
        <w:rPr>
          <w:lang w:val="en-NZ"/>
        </w:rPr>
        <w:t>declined.</w:t>
      </w:r>
    </w:p>
    <w:p w:rsidR="00C873C6" w:rsidRPr="00DB4CC5" w:rsidRDefault="00C873C6" w:rsidP="00C873C6">
      <w:pPr>
        <w:pBdr>
          <w:bottom w:val="single" w:sz="4" w:space="1" w:color="auto"/>
        </w:pBdr>
        <w:rPr>
          <w:lang w:val="en-NZ"/>
        </w:rPr>
      </w:pPr>
    </w:p>
    <w:p w:rsidR="00C873C6" w:rsidRDefault="00C873C6" w:rsidP="00C873C6">
      <w:pPr>
        <w:rPr>
          <w:lang w:val="en-NZ"/>
        </w:rPr>
      </w:pPr>
    </w:p>
    <w:p w:rsidR="007E7996" w:rsidRPr="00DB4CC5" w:rsidRDefault="007E7996" w:rsidP="00C873C6">
      <w:pPr>
        <w:rPr>
          <w:lang w:val="en-NZ"/>
        </w:rPr>
      </w:pPr>
    </w:p>
    <w:p w:rsidR="00C873C6" w:rsidRPr="00DB4CC5" w:rsidRDefault="00C873C6" w:rsidP="00C873C6">
      <w:pPr>
        <w:pStyle w:val="Heading5"/>
        <w:ind w:left="794" w:hanging="794"/>
        <w:rPr>
          <w:lang w:val="en-NZ"/>
        </w:rPr>
      </w:pPr>
      <w:bookmarkStart w:id="16" w:name="_Toc432411904"/>
      <w:r w:rsidRPr="00DB4CC5">
        <w:rPr>
          <w:lang w:val="en-NZ"/>
        </w:rPr>
        <w:t>Issue:</w:t>
      </w:r>
      <w:r w:rsidRPr="00DB4CC5">
        <w:rPr>
          <w:lang w:val="en-NZ"/>
        </w:rPr>
        <w:tab/>
      </w:r>
      <w:r>
        <w:rPr>
          <w:lang w:val="en-NZ"/>
        </w:rPr>
        <w:t>Status of section CB 6A</w:t>
      </w:r>
      <w:bookmarkEnd w:id="16"/>
    </w:p>
    <w:p w:rsidR="00C873C6" w:rsidRPr="00DB4CC5" w:rsidRDefault="00C873C6" w:rsidP="00C873C6">
      <w:pPr>
        <w:rPr>
          <w:lang w:val="en-NZ"/>
        </w:rPr>
      </w:pPr>
    </w:p>
    <w:p w:rsidR="00C873C6" w:rsidRPr="00DB4CC5" w:rsidRDefault="00C873C6" w:rsidP="00C873C6">
      <w:pPr>
        <w:rPr>
          <w:lang w:val="en-NZ"/>
        </w:rPr>
      </w:pPr>
    </w:p>
    <w:p w:rsidR="00C873C6" w:rsidRPr="00DB4CC5" w:rsidRDefault="00C873C6" w:rsidP="00C873C6">
      <w:pPr>
        <w:pStyle w:val="Heading2"/>
        <w:rPr>
          <w:lang w:val="en-NZ"/>
        </w:rPr>
      </w:pPr>
      <w:r w:rsidRPr="00DB4CC5">
        <w:rPr>
          <w:lang w:val="en-NZ"/>
        </w:rPr>
        <w:t>Submission</w:t>
      </w:r>
    </w:p>
    <w:p w:rsidR="00C873C6" w:rsidRPr="00DB4CC5" w:rsidRDefault="00C873C6" w:rsidP="00C873C6">
      <w:pPr>
        <w:pStyle w:val="Heading4"/>
        <w:rPr>
          <w:lang w:val="en-NZ"/>
        </w:rPr>
      </w:pPr>
      <w:r>
        <w:rPr>
          <w:lang w:val="en-NZ"/>
        </w:rPr>
        <w:t>(</w:t>
      </w:r>
      <w:proofErr w:type="spellStart"/>
      <w:proofErr w:type="gramStart"/>
      <w:r>
        <w:rPr>
          <w:lang w:val="en-NZ"/>
        </w:rPr>
        <w:t>nsaTax</w:t>
      </w:r>
      <w:proofErr w:type="spellEnd"/>
      <w:proofErr w:type="gramEnd"/>
      <w:r>
        <w:rPr>
          <w:lang w:val="en-NZ"/>
        </w:rPr>
        <w:t>, EY)</w:t>
      </w:r>
    </w:p>
    <w:p w:rsidR="00C873C6" w:rsidRPr="00DB4CC5" w:rsidRDefault="00C873C6" w:rsidP="00C873C6">
      <w:pPr>
        <w:tabs>
          <w:tab w:val="left" w:pos="5295"/>
        </w:tabs>
        <w:rPr>
          <w:lang w:val="en-NZ"/>
        </w:rPr>
      </w:pPr>
    </w:p>
    <w:p w:rsidR="00C873C6" w:rsidRDefault="00C873C6" w:rsidP="00C873C6">
      <w:pPr>
        <w:rPr>
          <w:lang w:val="en-NZ"/>
        </w:rPr>
      </w:pPr>
      <w:r>
        <w:rPr>
          <w:lang w:val="en-NZ"/>
        </w:rPr>
        <w:t>Section CB 6A should apply only when other provisions taxing land transactions do not apply</w:t>
      </w:r>
      <w:r w:rsidR="00F16E3E">
        <w:rPr>
          <w:lang w:val="en-NZ"/>
        </w:rPr>
        <w:t>.  T</w:t>
      </w:r>
      <w:r>
        <w:rPr>
          <w:lang w:val="en-NZ"/>
        </w:rPr>
        <w:t>he current approach can result in uncertainty.</w:t>
      </w:r>
    </w:p>
    <w:p w:rsidR="00C873C6" w:rsidRDefault="00C873C6" w:rsidP="00C873C6">
      <w:pPr>
        <w:rPr>
          <w:lang w:val="en-NZ"/>
        </w:rPr>
      </w:pPr>
    </w:p>
    <w:p w:rsidR="00C873C6" w:rsidRDefault="00C873C6" w:rsidP="00C873C6">
      <w:pPr>
        <w:rPr>
          <w:lang w:val="en-NZ"/>
        </w:rPr>
      </w:pPr>
      <w:r>
        <w:rPr>
          <w:lang w:val="en-NZ"/>
        </w:rPr>
        <w:t>For example</w:t>
      </w:r>
      <w:r w:rsidR="001D49FE">
        <w:rPr>
          <w:lang w:val="en-NZ"/>
        </w:rPr>
        <w:t>,</w:t>
      </w:r>
      <w:r>
        <w:rPr>
          <w:lang w:val="en-NZ"/>
        </w:rPr>
        <w:t xml:space="preserve"> if both</w:t>
      </w:r>
      <w:r w:rsidR="00B574A1">
        <w:rPr>
          <w:lang w:val="en-NZ"/>
        </w:rPr>
        <w:t xml:space="preserve"> section</w:t>
      </w:r>
      <w:r>
        <w:rPr>
          <w:lang w:val="en-NZ"/>
        </w:rPr>
        <w:t xml:space="preserve"> CB 6A or</w:t>
      </w:r>
      <w:r w:rsidR="00B574A1">
        <w:rPr>
          <w:lang w:val="en-NZ"/>
        </w:rPr>
        <w:t xml:space="preserve"> secti</w:t>
      </w:r>
      <w:r w:rsidR="00742779">
        <w:rPr>
          <w:lang w:val="en-NZ"/>
        </w:rPr>
        <w:t>on</w:t>
      </w:r>
      <w:r>
        <w:rPr>
          <w:lang w:val="en-NZ"/>
        </w:rPr>
        <w:t xml:space="preserve"> CB 12 could both </w:t>
      </w:r>
      <w:proofErr w:type="gramStart"/>
      <w:r>
        <w:rPr>
          <w:lang w:val="en-NZ"/>
        </w:rPr>
        <w:t>apply</w:t>
      </w:r>
      <w:r w:rsidR="001D49FE">
        <w:rPr>
          <w:lang w:val="en-NZ"/>
        </w:rPr>
        <w:t>,</w:t>
      </w:r>
      <w:proofErr w:type="gramEnd"/>
      <w:r>
        <w:rPr>
          <w:lang w:val="en-NZ"/>
        </w:rPr>
        <w:t xml:space="preserve"> it is unclear whether the main home exclusion would exempt them from tax</w:t>
      </w:r>
      <w:r w:rsidR="00F16E3E">
        <w:rPr>
          <w:lang w:val="en-NZ"/>
        </w:rPr>
        <w:t>.  I</w:t>
      </w:r>
      <w:r>
        <w:rPr>
          <w:lang w:val="en-NZ"/>
        </w:rPr>
        <w:t xml:space="preserve">n that circumstance it should be </w:t>
      </w:r>
      <w:r w:rsidR="00BA198C">
        <w:rPr>
          <w:lang w:val="en-NZ"/>
        </w:rPr>
        <w:t>section</w:t>
      </w:r>
      <w:r>
        <w:rPr>
          <w:lang w:val="en-NZ"/>
        </w:rPr>
        <w:t xml:space="preserve"> CB 12</w:t>
      </w:r>
      <w:r w:rsidR="00BA198C">
        <w:rPr>
          <w:lang w:val="en-NZ"/>
        </w:rPr>
        <w:t xml:space="preserve"> that</w:t>
      </w:r>
      <w:r>
        <w:rPr>
          <w:lang w:val="en-NZ"/>
        </w:rPr>
        <w:t xml:space="preserve"> applies.</w:t>
      </w:r>
    </w:p>
    <w:p w:rsidR="00C873C6" w:rsidRDefault="00C873C6" w:rsidP="00C873C6">
      <w:pPr>
        <w:rPr>
          <w:lang w:val="en-NZ"/>
        </w:rPr>
      </w:pPr>
    </w:p>
    <w:p w:rsidR="00C873C6" w:rsidRDefault="00C873C6" w:rsidP="00C873C6">
      <w:pPr>
        <w:rPr>
          <w:lang w:val="en-NZ"/>
        </w:rPr>
      </w:pPr>
      <w:r>
        <w:rPr>
          <w:lang w:val="en-NZ"/>
        </w:rPr>
        <w:t>It would also be unclear what the result would be for sections DB 27 or DB 28 or whether the ring-fencing applies if more than one land provisions applies.</w:t>
      </w:r>
    </w:p>
    <w:p w:rsidR="00C873C6" w:rsidRDefault="00C873C6" w:rsidP="00C873C6">
      <w:pPr>
        <w:rPr>
          <w:lang w:val="en-NZ"/>
        </w:rPr>
      </w:pPr>
    </w:p>
    <w:p w:rsidR="00C873C6" w:rsidRPr="00DB4CC5" w:rsidRDefault="00C873C6" w:rsidP="00C873C6">
      <w:pPr>
        <w:rPr>
          <w:lang w:val="en-NZ"/>
        </w:rPr>
      </w:pPr>
      <w:r>
        <w:rPr>
          <w:lang w:val="en-NZ"/>
        </w:rPr>
        <w:t>As</w:t>
      </w:r>
      <w:r w:rsidR="00FF233E">
        <w:rPr>
          <w:lang w:val="en-NZ"/>
        </w:rPr>
        <w:t xml:space="preserve"> a</w:t>
      </w:r>
      <w:r>
        <w:rPr>
          <w:lang w:val="en-NZ"/>
        </w:rPr>
        <w:t xml:space="preserve"> precedent note that sections CB 13 and CB 14 are expressed as applying only if a taxpayer’s land disposal is not taxed under any of sections CB 6 to CB 12.</w:t>
      </w:r>
    </w:p>
    <w:p w:rsidR="00C873C6" w:rsidRPr="00DB4CC5" w:rsidRDefault="00C873C6" w:rsidP="00C873C6">
      <w:pPr>
        <w:pStyle w:val="Heading2"/>
        <w:rPr>
          <w:lang w:val="en-NZ"/>
        </w:rPr>
      </w:pPr>
      <w:r w:rsidRPr="00DB4CC5">
        <w:rPr>
          <w:lang w:val="en-NZ"/>
        </w:rPr>
        <w:t>Comment</w:t>
      </w:r>
    </w:p>
    <w:p w:rsidR="00C873C6" w:rsidRDefault="00C873C6" w:rsidP="00C873C6">
      <w:pPr>
        <w:rPr>
          <w:lang w:val="en-NZ"/>
        </w:rPr>
      </w:pPr>
    </w:p>
    <w:p w:rsidR="00C873C6" w:rsidRDefault="00E62A19" w:rsidP="00C873C6">
      <w:pPr>
        <w:rPr>
          <w:lang w:val="en-NZ"/>
        </w:rPr>
      </w:pPr>
      <w:r>
        <w:rPr>
          <w:lang w:val="en-NZ"/>
        </w:rPr>
        <w:t>We agree that the relative priority of the bright-line test in the land sale rules should be clarified.</w:t>
      </w:r>
      <w:r w:rsidRPr="00DB4CC5">
        <w:rPr>
          <w:lang w:val="en-NZ"/>
        </w:rPr>
        <w:t xml:space="preserve"> </w:t>
      </w:r>
    </w:p>
    <w:p w:rsidR="00E62A19" w:rsidRPr="00DB4CC5" w:rsidRDefault="00E62A19" w:rsidP="00C873C6">
      <w:pPr>
        <w:rPr>
          <w:lang w:val="en-NZ"/>
        </w:rPr>
      </w:pPr>
    </w:p>
    <w:p w:rsidR="00C873C6" w:rsidRPr="00DB4CC5" w:rsidRDefault="00C873C6" w:rsidP="00C873C6">
      <w:pPr>
        <w:pStyle w:val="Heading2"/>
        <w:rPr>
          <w:lang w:val="en-NZ"/>
        </w:rPr>
      </w:pPr>
      <w:r w:rsidRPr="00DB4CC5">
        <w:rPr>
          <w:lang w:val="en-NZ"/>
        </w:rPr>
        <w:t>Recommendation</w:t>
      </w:r>
    </w:p>
    <w:p w:rsidR="00C873C6" w:rsidRPr="00DB4CC5" w:rsidRDefault="00C873C6" w:rsidP="00C873C6">
      <w:pPr>
        <w:rPr>
          <w:lang w:val="en-NZ"/>
        </w:rPr>
      </w:pPr>
    </w:p>
    <w:p w:rsidR="00C873C6" w:rsidRPr="00DB4CC5" w:rsidRDefault="00C873C6" w:rsidP="00C873C6">
      <w:pPr>
        <w:rPr>
          <w:lang w:val="en-NZ"/>
        </w:rPr>
      </w:pPr>
      <w:r w:rsidRPr="00DB4CC5">
        <w:rPr>
          <w:lang w:val="en-NZ"/>
        </w:rPr>
        <w:t xml:space="preserve">That the submission be </w:t>
      </w:r>
      <w:r w:rsidR="00E62A19">
        <w:rPr>
          <w:lang w:val="en-NZ"/>
        </w:rPr>
        <w:t>accepted</w:t>
      </w:r>
      <w:r>
        <w:rPr>
          <w:lang w:val="en-NZ"/>
        </w:rPr>
        <w:t>.</w:t>
      </w:r>
    </w:p>
    <w:p w:rsidR="009267AB" w:rsidRPr="00DB4CC5" w:rsidRDefault="00C873C6">
      <w:pPr>
        <w:pStyle w:val="Heading1"/>
      </w:pPr>
      <w:r>
        <w:br w:type="page"/>
      </w:r>
      <w:bookmarkStart w:id="17" w:name="_Toc432411905"/>
      <w:r w:rsidR="009267AB" w:rsidRPr="00E46CBB">
        <w:t>Year income derived under bright-line</w:t>
      </w:r>
      <w:bookmarkEnd w:id="17"/>
    </w:p>
    <w:p w:rsidR="009267AB" w:rsidRPr="00DB4CC5" w:rsidRDefault="009267AB" w:rsidP="009267AB">
      <w:pPr>
        <w:rPr>
          <w:lang w:val="en-NZ"/>
        </w:rPr>
      </w:pPr>
    </w:p>
    <w:p w:rsidR="009267AB" w:rsidRDefault="009267AB" w:rsidP="009267AB">
      <w:pPr>
        <w:pStyle w:val="Heading3"/>
        <w:rPr>
          <w:lang w:val="en-NZ"/>
        </w:rPr>
      </w:pPr>
      <w:r>
        <w:rPr>
          <w:lang w:val="en-NZ"/>
        </w:rPr>
        <w:t>Clause 4</w:t>
      </w:r>
    </w:p>
    <w:p w:rsidR="009267AB" w:rsidRPr="00DB4CC5" w:rsidRDefault="009267AB" w:rsidP="009267AB">
      <w:pPr>
        <w:rPr>
          <w:lang w:val="en-NZ"/>
        </w:rPr>
      </w:pPr>
    </w:p>
    <w:p w:rsidR="009267AB" w:rsidRPr="00DB4CC5" w:rsidRDefault="009267AB" w:rsidP="009267AB">
      <w:pPr>
        <w:rPr>
          <w:lang w:val="en-NZ"/>
        </w:rPr>
      </w:pPr>
    </w:p>
    <w:p w:rsidR="009267AB" w:rsidRPr="00DB4CC5" w:rsidRDefault="009267AB" w:rsidP="009267AB">
      <w:pPr>
        <w:pStyle w:val="Heading5"/>
        <w:ind w:left="794" w:hanging="794"/>
        <w:rPr>
          <w:lang w:val="en-NZ"/>
        </w:rPr>
      </w:pPr>
      <w:bookmarkStart w:id="18" w:name="_Toc432411906"/>
      <w:r w:rsidRPr="00DB4CC5">
        <w:rPr>
          <w:lang w:val="en-NZ"/>
        </w:rPr>
        <w:t>Issue:</w:t>
      </w:r>
      <w:r w:rsidRPr="00DB4CC5">
        <w:rPr>
          <w:lang w:val="en-NZ"/>
        </w:rPr>
        <w:tab/>
      </w:r>
      <w:r>
        <w:rPr>
          <w:lang w:val="en-NZ"/>
        </w:rPr>
        <w:t>Income year bright-line income derived</w:t>
      </w:r>
      <w:bookmarkEnd w:id="18"/>
    </w:p>
    <w:p w:rsidR="009267AB" w:rsidRPr="00DB4CC5" w:rsidRDefault="009267AB" w:rsidP="009267AB">
      <w:pPr>
        <w:rPr>
          <w:lang w:val="en-NZ"/>
        </w:rPr>
      </w:pPr>
    </w:p>
    <w:p w:rsidR="009267AB" w:rsidRPr="00DB4CC5" w:rsidRDefault="009267AB" w:rsidP="009267AB">
      <w:pPr>
        <w:rPr>
          <w:lang w:val="en-NZ"/>
        </w:rPr>
      </w:pPr>
    </w:p>
    <w:p w:rsidR="009267AB" w:rsidRPr="00DB4CC5" w:rsidRDefault="009267AB" w:rsidP="009267AB">
      <w:pPr>
        <w:pStyle w:val="Heading2"/>
        <w:rPr>
          <w:lang w:val="en-NZ"/>
        </w:rPr>
      </w:pPr>
      <w:r w:rsidRPr="00DB4CC5">
        <w:rPr>
          <w:lang w:val="en-NZ"/>
        </w:rPr>
        <w:t>Submission</w:t>
      </w:r>
    </w:p>
    <w:p w:rsidR="009267AB" w:rsidRPr="00DB4CC5" w:rsidRDefault="009267AB" w:rsidP="009267AB">
      <w:pPr>
        <w:pStyle w:val="Heading4"/>
        <w:rPr>
          <w:lang w:val="en-NZ"/>
        </w:rPr>
      </w:pPr>
      <w:r>
        <w:rPr>
          <w:lang w:val="en-NZ"/>
        </w:rPr>
        <w:t>(EY)</w:t>
      </w:r>
    </w:p>
    <w:p w:rsidR="009267AB" w:rsidRPr="00DB4CC5" w:rsidRDefault="009267AB" w:rsidP="009267AB">
      <w:pPr>
        <w:tabs>
          <w:tab w:val="left" w:pos="5295"/>
        </w:tabs>
        <w:rPr>
          <w:lang w:val="en-NZ"/>
        </w:rPr>
      </w:pPr>
    </w:p>
    <w:p w:rsidR="009267AB" w:rsidRDefault="00FF233E" w:rsidP="009267AB">
      <w:pPr>
        <w:rPr>
          <w:lang w:val="en-NZ"/>
        </w:rPr>
      </w:pPr>
      <w:r>
        <w:rPr>
          <w:lang w:val="en-NZ"/>
        </w:rPr>
        <w:t>P</w:t>
      </w:r>
      <w:r w:rsidR="009267AB">
        <w:rPr>
          <w:lang w:val="en-NZ"/>
        </w:rPr>
        <w:t>roposed</w:t>
      </w:r>
      <w:r>
        <w:rPr>
          <w:lang w:val="en-NZ"/>
        </w:rPr>
        <w:t xml:space="preserve"> section</w:t>
      </w:r>
      <w:r w:rsidR="009267AB">
        <w:rPr>
          <w:lang w:val="en-NZ"/>
        </w:rPr>
        <w:t xml:space="preserve"> CB 6A includes a specific definition of “date of disposal”</w:t>
      </w:r>
      <w:r w:rsidR="00F16E3E">
        <w:rPr>
          <w:lang w:val="en-NZ"/>
        </w:rPr>
        <w:t>.  T</w:t>
      </w:r>
      <w:r w:rsidR="009267AB">
        <w:rPr>
          <w:lang w:val="en-NZ"/>
        </w:rPr>
        <w:t>he use of this term may suggest that income is to be derived at the date of disposal rather than at the date of settlement.</w:t>
      </w:r>
    </w:p>
    <w:p w:rsidR="009267AB" w:rsidRDefault="009267AB" w:rsidP="009267AB">
      <w:pPr>
        <w:rPr>
          <w:lang w:val="en-NZ"/>
        </w:rPr>
      </w:pPr>
    </w:p>
    <w:p w:rsidR="009267AB" w:rsidRPr="00DB4CC5" w:rsidRDefault="009267AB" w:rsidP="009267AB">
      <w:pPr>
        <w:rPr>
          <w:lang w:val="en-NZ"/>
        </w:rPr>
      </w:pPr>
      <w:r>
        <w:rPr>
          <w:lang w:val="en-NZ"/>
        </w:rPr>
        <w:t>Confirmation is required that the income year in which any bright-line rule income is regarded as derived for income tax purposes will generally be the income year in which the transaction is settled, in accordance with general principles relating to income derivation from the land sales</w:t>
      </w:r>
      <w:r w:rsidR="001D49FE">
        <w:rPr>
          <w:lang w:val="en-NZ"/>
        </w:rPr>
        <w:t>,</w:t>
      </w:r>
      <w:r>
        <w:rPr>
          <w:lang w:val="en-NZ"/>
        </w:rPr>
        <w:t xml:space="preserve"> and will not be determined by the “date of disposal” as proposed to be defined for bright-line purposes.</w:t>
      </w:r>
    </w:p>
    <w:p w:rsidR="009267AB" w:rsidRDefault="009267AB" w:rsidP="009267AB">
      <w:pPr>
        <w:rPr>
          <w:lang w:val="en-NZ"/>
        </w:rPr>
      </w:pPr>
    </w:p>
    <w:p w:rsidR="009267AB" w:rsidRDefault="009267AB" w:rsidP="009267AB">
      <w:pPr>
        <w:rPr>
          <w:lang w:val="en-NZ"/>
        </w:rPr>
      </w:pPr>
      <w:r>
        <w:rPr>
          <w:lang w:val="en-NZ"/>
        </w:rPr>
        <w:t>There should be express confirmation that the general timing rules are intended to apply.</w:t>
      </w:r>
    </w:p>
    <w:p w:rsidR="009267AB" w:rsidRPr="00DB4CC5" w:rsidRDefault="009267AB" w:rsidP="009267AB">
      <w:pPr>
        <w:rPr>
          <w:lang w:val="en-NZ"/>
        </w:rPr>
      </w:pPr>
    </w:p>
    <w:p w:rsidR="009267AB" w:rsidRPr="00DB4CC5" w:rsidRDefault="009267AB" w:rsidP="009267AB">
      <w:pPr>
        <w:pStyle w:val="Heading2"/>
        <w:rPr>
          <w:lang w:val="en-NZ"/>
        </w:rPr>
      </w:pPr>
      <w:r w:rsidRPr="00DB4CC5">
        <w:rPr>
          <w:lang w:val="en-NZ"/>
        </w:rPr>
        <w:t>Comment</w:t>
      </w:r>
    </w:p>
    <w:p w:rsidR="009267AB" w:rsidRDefault="009267AB" w:rsidP="009267AB">
      <w:pPr>
        <w:rPr>
          <w:lang w:val="en-NZ"/>
        </w:rPr>
      </w:pPr>
    </w:p>
    <w:p w:rsidR="009267AB" w:rsidRPr="00DB4CC5" w:rsidRDefault="009267AB" w:rsidP="009267AB">
      <w:pPr>
        <w:rPr>
          <w:lang w:val="en-NZ"/>
        </w:rPr>
      </w:pPr>
      <w:r>
        <w:rPr>
          <w:lang w:val="en-NZ"/>
        </w:rPr>
        <w:t>Income taxable under the bright-line rule is intended to be recognised in the year in which it is derived under general principles rather than solely by the “date of disposal”.</w:t>
      </w:r>
    </w:p>
    <w:p w:rsidR="009267AB" w:rsidRDefault="009267AB" w:rsidP="009267AB">
      <w:pPr>
        <w:rPr>
          <w:lang w:val="en-NZ"/>
        </w:rPr>
      </w:pPr>
    </w:p>
    <w:p w:rsidR="009F2B87" w:rsidRDefault="009F2B87" w:rsidP="009267AB">
      <w:pPr>
        <w:rPr>
          <w:lang w:val="en-NZ"/>
        </w:rPr>
      </w:pPr>
      <w:r>
        <w:rPr>
          <w:lang w:val="en-NZ"/>
        </w:rPr>
        <w:t>We propose to change the term “date of disposal” to remove any doubt</w:t>
      </w:r>
      <w:r w:rsidR="00F16E3E">
        <w:rPr>
          <w:lang w:val="en-NZ"/>
        </w:rPr>
        <w:t>.  W</w:t>
      </w:r>
      <w:r w:rsidR="00A37613">
        <w:rPr>
          <w:lang w:val="en-NZ"/>
        </w:rPr>
        <w:t xml:space="preserve">e will also clarify this in the </w:t>
      </w:r>
      <w:r w:rsidR="00A37613" w:rsidRPr="009B557D">
        <w:rPr>
          <w:i/>
          <w:lang w:val="en-NZ"/>
        </w:rPr>
        <w:t>Tax Information Bulletin</w:t>
      </w:r>
      <w:r w:rsidR="00A37613">
        <w:rPr>
          <w:lang w:val="en-NZ"/>
        </w:rPr>
        <w:t>.</w:t>
      </w:r>
    </w:p>
    <w:p w:rsidR="009267AB" w:rsidRPr="00DB4CC5" w:rsidRDefault="009267AB" w:rsidP="009267AB">
      <w:pPr>
        <w:rPr>
          <w:lang w:val="en-NZ"/>
        </w:rPr>
      </w:pPr>
    </w:p>
    <w:p w:rsidR="009267AB" w:rsidRPr="00DB4CC5" w:rsidRDefault="009267AB" w:rsidP="009267AB">
      <w:pPr>
        <w:pStyle w:val="Heading2"/>
        <w:rPr>
          <w:lang w:val="en-NZ"/>
        </w:rPr>
      </w:pPr>
      <w:r w:rsidRPr="00DB4CC5">
        <w:rPr>
          <w:lang w:val="en-NZ"/>
        </w:rPr>
        <w:t>Recommendation</w:t>
      </w:r>
    </w:p>
    <w:p w:rsidR="009267AB" w:rsidRPr="00DB4CC5" w:rsidRDefault="009267AB" w:rsidP="009267AB">
      <w:pPr>
        <w:rPr>
          <w:lang w:val="en-NZ"/>
        </w:rPr>
      </w:pPr>
    </w:p>
    <w:p w:rsidR="009267AB" w:rsidRPr="00DB4CC5" w:rsidRDefault="009F2B87" w:rsidP="009267AB">
      <w:pPr>
        <w:rPr>
          <w:lang w:val="en-NZ"/>
        </w:rPr>
      </w:pPr>
      <w:r>
        <w:rPr>
          <w:lang w:val="en-NZ"/>
        </w:rPr>
        <w:t>That the submission be accepted.</w:t>
      </w:r>
    </w:p>
    <w:p w:rsidR="009267AB" w:rsidRPr="00DB4CC5" w:rsidRDefault="009267AB" w:rsidP="009267AB">
      <w:pPr>
        <w:pBdr>
          <w:bottom w:val="single" w:sz="4" w:space="1" w:color="auto"/>
        </w:pBdr>
        <w:rPr>
          <w:lang w:val="en-NZ"/>
        </w:rPr>
      </w:pPr>
    </w:p>
    <w:p w:rsidR="009267AB" w:rsidRDefault="009267AB" w:rsidP="009267AB">
      <w:pPr>
        <w:rPr>
          <w:lang w:val="en-NZ"/>
        </w:rPr>
      </w:pPr>
    </w:p>
    <w:p w:rsidR="007E7996" w:rsidRPr="00DB4CC5" w:rsidRDefault="007E7996" w:rsidP="009267AB">
      <w:pPr>
        <w:rPr>
          <w:lang w:val="en-NZ"/>
        </w:rPr>
      </w:pPr>
    </w:p>
    <w:p w:rsidR="009267AB" w:rsidRPr="00DB4CC5" w:rsidRDefault="009267AB" w:rsidP="009267AB">
      <w:pPr>
        <w:pStyle w:val="Heading5"/>
        <w:ind w:left="794" w:hanging="794"/>
        <w:rPr>
          <w:lang w:val="en-NZ"/>
        </w:rPr>
      </w:pPr>
      <w:bookmarkStart w:id="19" w:name="_Toc432411907"/>
      <w:r w:rsidRPr="00DB4CC5">
        <w:rPr>
          <w:lang w:val="en-NZ"/>
        </w:rPr>
        <w:t>Issue:</w:t>
      </w:r>
      <w:r w:rsidRPr="00DB4CC5">
        <w:rPr>
          <w:lang w:val="en-NZ"/>
        </w:rPr>
        <w:tab/>
      </w:r>
      <w:r>
        <w:rPr>
          <w:lang w:val="en-NZ"/>
        </w:rPr>
        <w:t>Use of term “date of disposal”</w:t>
      </w:r>
      <w:bookmarkEnd w:id="19"/>
    </w:p>
    <w:p w:rsidR="009267AB" w:rsidRPr="00DB4CC5" w:rsidRDefault="009267AB" w:rsidP="009267AB">
      <w:pPr>
        <w:rPr>
          <w:lang w:val="en-NZ"/>
        </w:rPr>
      </w:pPr>
    </w:p>
    <w:p w:rsidR="009267AB" w:rsidRPr="00DB4CC5" w:rsidRDefault="009267AB" w:rsidP="009267AB">
      <w:pPr>
        <w:rPr>
          <w:lang w:val="en-NZ"/>
        </w:rPr>
      </w:pPr>
    </w:p>
    <w:p w:rsidR="009267AB" w:rsidRPr="00DB4CC5" w:rsidRDefault="009267AB" w:rsidP="009267AB">
      <w:pPr>
        <w:pStyle w:val="Heading2"/>
        <w:rPr>
          <w:lang w:val="en-NZ"/>
        </w:rPr>
      </w:pPr>
      <w:r w:rsidRPr="00DB4CC5">
        <w:rPr>
          <w:lang w:val="en-NZ"/>
        </w:rPr>
        <w:t>Submission</w:t>
      </w:r>
    </w:p>
    <w:p w:rsidR="009267AB" w:rsidRPr="00DB4CC5" w:rsidRDefault="009267AB" w:rsidP="009267AB">
      <w:pPr>
        <w:pStyle w:val="Heading4"/>
        <w:rPr>
          <w:lang w:val="en-NZ"/>
        </w:rPr>
      </w:pPr>
      <w:r>
        <w:rPr>
          <w:lang w:val="en-NZ"/>
        </w:rPr>
        <w:t>(EY)</w:t>
      </w:r>
    </w:p>
    <w:p w:rsidR="009267AB" w:rsidRPr="00DB4CC5" w:rsidRDefault="009267AB" w:rsidP="009267AB">
      <w:pPr>
        <w:tabs>
          <w:tab w:val="left" w:pos="5295"/>
        </w:tabs>
        <w:rPr>
          <w:lang w:val="en-NZ"/>
        </w:rPr>
      </w:pPr>
    </w:p>
    <w:p w:rsidR="009267AB" w:rsidRDefault="009267AB" w:rsidP="009267AB">
      <w:pPr>
        <w:rPr>
          <w:lang w:val="en-NZ"/>
        </w:rPr>
      </w:pPr>
      <w:r>
        <w:rPr>
          <w:lang w:val="en-NZ"/>
        </w:rPr>
        <w:t>The use of the term “date of disposal” may cause confusion for the reasons outlined by the previous submission</w:t>
      </w:r>
      <w:r w:rsidR="00F16E3E">
        <w:rPr>
          <w:lang w:val="en-NZ"/>
        </w:rPr>
        <w:t>.  I</w:t>
      </w:r>
      <w:r>
        <w:rPr>
          <w:lang w:val="en-NZ"/>
        </w:rPr>
        <w:t>t should be replaced with words along the lines of “bright-line period date” or something similar</w:t>
      </w:r>
      <w:r w:rsidR="00F16E3E">
        <w:rPr>
          <w:lang w:val="en-NZ"/>
        </w:rPr>
        <w:t>.  T</w:t>
      </w:r>
      <w:r>
        <w:rPr>
          <w:lang w:val="en-NZ"/>
        </w:rPr>
        <w:t>his ensures the distinction between characterisation of a transaction as taxable and the timing of recognition of that income</w:t>
      </w:r>
      <w:r w:rsidR="00AC5F98">
        <w:rPr>
          <w:lang w:val="en-NZ"/>
        </w:rPr>
        <w:t>.</w:t>
      </w:r>
    </w:p>
    <w:p w:rsidR="009267AB" w:rsidRPr="00DB4CC5" w:rsidRDefault="009267AB" w:rsidP="009267AB">
      <w:pPr>
        <w:rPr>
          <w:lang w:val="en-NZ"/>
        </w:rPr>
      </w:pPr>
    </w:p>
    <w:p w:rsidR="009267AB" w:rsidRPr="00DB4CC5" w:rsidRDefault="009267AB" w:rsidP="009267AB">
      <w:pPr>
        <w:pStyle w:val="Heading2"/>
        <w:rPr>
          <w:lang w:val="en-NZ"/>
        </w:rPr>
      </w:pPr>
      <w:r w:rsidRPr="00DB4CC5">
        <w:rPr>
          <w:lang w:val="en-NZ"/>
        </w:rPr>
        <w:t>Comment</w:t>
      </w:r>
    </w:p>
    <w:p w:rsidR="009267AB" w:rsidRDefault="009267AB" w:rsidP="009267AB">
      <w:pPr>
        <w:rPr>
          <w:lang w:val="en-NZ"/>
        </w:rPr>
      </w:pPr>
    </w:p>
    <w:p w:rsidR="009267AB" w:rsidRPr="00DB4CC5" w:rsidRDefault="009F2B87" w:rsidP="009267AB">
      <w:pPr>
        <w:rPr>
          <w:lang w:val="en-NZ"/>
        </w:rPr>
      </w:pPr>
      <w:r>
        <w:rPr>
          <w:lang w:val="en-NZ"/>
        </w:rPr>
        <w:t>We agree with the submission.</w:t>
      </w:r>
    </w:p>
    <w:p w:rsidR="009267AB" w:rsidRPr="00DB4CC5" w:rsidRDefault="009267AB" w:rsidP="009267AB">
      <w:pPr>
        <w:rPr>
          <w:lang w:val="en-NZ"/>
        </w:rPr>
      </w:pPr>
    </w:p>
    <w:p w:rsidR="009267AB" w:rsidRPr="00DB4CC5" w:rsidRDefault="009267AB" w:rsidP="009267AB">
      <w:pPr>
        <w:pStyle w:val="Heading2"/>
        <w:rPr>
          <w:lang w:val="en-NZ"/>
        </w:rPr>
      </w:pPr>
      <w:r w:rsidRPr="00DB4CC5">
        <w:rPr>
          <w:lang w:val="en-NZ"/>
        </w:rPr>
        <w:t>Recommendation</w:t>
      </w:r>
    </w:p>
    <w:p w:rsidR="009267AB" w:rsidRPr="00DB4CC5" w:rsidRDefault="009267AB" w:rsidP="009267AB">
      <w:pPr>
        <w:rPr>
          <w:lang w:val="en-NZ"/>
        </w:rPr>
      </w:pPr>
    </w:p>
    <w:p w:rsidR="009267AB" w:rsidRPr="00DB4CC5" w:rsidRDefault="009F2B87" w:rsidP="009267AB">
      <w:pPr>
        <w:rPr>
          <w:lang w:val="en-NZ"/>
        </w:rPr>
      </w:pPr>
      <w:r>
        <w:rPr>
          <w:lang w:val="en-NZ"/>
        </w:rPr>
        <w:t>That the submission be accepted</w:t>
      </w:r>
      <w:r w:rsidR="0076263F">
        <w:rPr>
          <w:lang w:val="en-NZ"/>
        </w:rPr>
        <w:t>.</w:t>
      </w:r>
    </w:p>
    <w:p w:rsidR="009267AB" w:rsidRPr="00DB4CC5" w:rsidRDefault="009267AB" w:rsidP="009267AB">
      <w:pPr>
        <w:pBdr>
          <w:bottom w:val="single" w:sz="4" w:space="1" w:color="auto"/>
        </w:pBdr>
        <w:rPr>
          <w:lang w:val="en-NZ"/>
        </w:rPr>
      </w:pPr>
    </w:p>
    <w:p w:rsidR="009267AB" w:rsidRDefault="009267AB" w:rsidP="009267AB">
      <w:pPr>
        <w:rPr>
          <w:lang w:val="en-NZ"/>
        </w:rPr>
      </w:pPr>
    </w:p>
    <w:p w:rsidR="007E7996" w:rsidRPr="00DB4CC5" w:rsidRDefault="007E7996" w:rsidP="009267AB">
      <w:pPr>
        <w:rPr>
          <w:lang w:val="en-NZ"/>
        </w:rPr>
      </w:pPr>
    </w:p>
    <w:p w:rsidR="009267AB" w:rsidRPr="00DB4CC5" w:rsidRDefault="009267AB" w:rsidP="00742779">
      <w:pPr>
        <w:pStyle w:val="Heading5"/>
        <w:tabs>
          <w:tab w:val="clear" w:pos="794"/>
          <w:tab w:val="left" w:pos="0"/>
        </w:tabs>
        <w:rPr>
          <w:lang w:val="en-NZ"/>
        </w:rPr>
      </w:pPr>
      <w:bookmarkStart w:id="20" w:name="_Toc432411908"/>
      <w:r w:rsidRPr="00DB4CC5">
        <w:rPr>
          <w:lang w:val="en-NZ"/>
        </w:rPr>
        <w:t>Issue:</w:t>
      </w:r>
      <w:r w:rsidRPr="00DB4CC5">
        <w:rPr>
          <w:lang w:val="en-NZ"/>
        </w:rPr>
        <w:tab/>
      </w:r>
      <w:r>
        <w:rPr>
          <w:lang w:val="en-NZ"/>
        </w:rPr>
        <w:t>Specific allocation rules and express provision against possibility of double taxation</w:t>
      </w:r>
      <w:bookmarkEnd w:id="20"/>
    </w:p>
    <w:p w:rsidR="009267AB" w:rsidRPr="00DB4CC5" w:rsidRDefault="009267AB" w:rsidP="009267AB">
      <w:pPr>
        <w:rPr>
          <w:lang w:val="en-NZ"/>
        </w:rPr>
      </w:pPr>
    </w:p>
    <w:p w:rsidR="009267AB" w:rsidRPr="00DB4CC5" w:rsidRDefault="009267AB" w:rsidP="009267AB">
      <w:pPr>
        <w:rPr>
          <w:lang w:val="en-NZ"/>
        </w:rPr>
      </w:pPr>
    </w:p>
    <w:p w:rsidR="009267AB" w:rsidRPr="00DB4CC5" w:rsidRDefault="009267AB" w:rsidP="009267AB">
      <w:pPr>
        <w:pStyle w:val="Heading2"/>
        <w:rPr>
          <w:lang w:val="en-NZ"/>
        </w:rPr>
      </w:pPr>
      <w:r w:rsidRPr="00DB4CC5">
        <w:rPr>
          <w:lang w:val="en-NZ"/>
        </w:rPr>
        <w:t>Submission</w:t>
      </w:r>
    </w:p>
    <w:p w:rsidR="009267AB" w:rsidRPr="00DB4CC5" w:rsidRDefault="009267AB" w:rsidP="009267AB">
      <w:pPr>
        <w:pStyle w:val="Heading4"/>
        <w:rPr>
          <w:lang w:val="en-NZ"/>
        </w:rPr>
      </w:pPr>
      <w:r>
        <w:rPr>
          <w:lang w:val="en-NZ"/>
        </w:rPr>
        <w:t>(EY)</w:t>
      </w:r>
    </w:p>
    <w:p w:rsidR="009267AB" w:rsidRPr="00DB4CC5" w:rsidRDefault="009267AB" w:rsidP="009267AB">
      <w:pPr>
        <w:tabs>
          <w:tab w:val="left" w:pos="5295"/>
        </w:tabs>
        <w:rPr>
          <w:lang w:val="en-NZ"/>
        </w:rPr>
      </w:pPr>
    </w:p>
    <w:p w:rsidR="009267AB" w:rsidRDefault="009267AB" w:rsidP="009267AB">
      <w:pPr>
        <w:rPr>
          <w:lang w:val="en-NZ"/>
        </w:rPr>
      </w:pPr>
      <w:r>
        <w:rPr>
          <w:lang w:val="en-NZ"/>
        </w:rPr>
        <w:t>If income which is taxable under the bright-line rule is intended to be recognised in the year of the “date of disposal”</w:t>
      </w:r>
      <w:r w:rsidR="0076263F">
        <w:rPr>
          <w:lang w:val="en-NZ"/>
        </w:rPr>
        <w:t>,</w:t>
      </w:r>
      <w:r>
        <w:rPr>
          <w:lang w:val="en-NZ"/>
        </w:rPr>
        <w:t xml:space="preserve"> a specific allocation rule should be expressly included in the legislation and there should be express rules to prevent double </w:t>
      </w:r>
      <w:r w:rsidR="00286D7B">
        <w:rPr>
          <w:lang w:val="en-NZ"/>
        </w:rPr>
        <w:t>taxation if</w:t>
      </w:r>
      <w:r>
        <w:rPr>
          <w:lang w:val="en-NZ"/>
        </w:rPr>
        <w:t xml:space="preserve"> it is also taxable in a later year under another of the land sale rules.</w:t>
      </w:r>
    </w:p>
    <w:p w:rsidR="009267AB" w:rsidRPr="00DB4CC5" w:rsidRDefault="009267AB" w:rsidP="009267AB">
      <w:pPr>
        <w:rPr>
          <w:lang w:val="en-NZ"/>
        </w:rPr>
      </w:pPr>
    </w:p>
    <w:p w:rsidR="009267AB" w:rsidRPr="00DB4CC5" w:rsidRDefault="009267AB" w:rsidP="009267AB">
      <w:pPr>
        <w:pStyle w:val="Heading2"/>
        <w:rPr>
          <w:lang w:val="en-NZ"/>
        </w:rPr>
      </w:pPr>
      <w:r w:rsidRPr="00DB4CC5">
        <w:rPr>
          <w:lang w:val="en-NZ"/>
        </w:rPr>
        <w:t>Comment</w:t>
      </w:r>
    </w:p>
    <w:p w:rsidR="009267AB" w:rsidRDefault="009267AB" w:rsidP="009267AB">
      <w:pPr>
        <w:rPr>
          <w:lang w:val="en-NZ"/>
        </w:rPr>
      </w:pPr>
    </w:p>
    <w:p w:rsidR="009267AB" w:rsidRPr="00DB4CC5" w:rsidRDefault="009267AB" w:rsidP="009267AB">
      <w:pPr>
        <w:rPr>
          <w:lang w:val="en-NZ"/>
        </w:rPr>
      </w:pPr>
      <w:r>
        <w:rPr>
          <w:lang w:val="en-NZ"/>
        </w:rPr>
        <w:t>Income taxable under the bright-line rule is intended to be recognised in the year in which it is derived under general principles rather than solely by the “date of disposal”.</w:t>
      </w:r>
    </w:p>
    <w:p w:rsidR="009267AB" w:rsidRPr="00DB4CC5" w:rsidRDefault="009267AB" w:rsidP="009267AB">
      <w:pPr>
        <w:rPr>
          <w:lang w:val="en-NZ"/>
        </w:rPr>
      </w:pPr>
    </w:p>
    <w:p w:rsidR="009267AB" w:rsidRPr="00DB4CC5" w:rsidRDefault="009267AB" w:rsidP="009267AB">
      <w:pPr>
        <w:pStyle w:val="Heading2"/>
        <w:rPr>
          <w:lang w:val="en-NZ"/>
        </w:rPr>
      </w:pPr>
      <w:r w:rsidRPr="00DB4CC5">
        <w:rPr>
          <w:lang w:val="en-NZ"/>
        </w:rPr>
        <w:t>Recommendation</w:t>
      </w:r>
    </w:p>
    <w:p w:rsidR="009267AB" w:rsidRPr="00DB4CC5" w:rsidRDefault="009267AB" w:rsidP="009267AB">
      <w:pPr>
        <w:rPr>
          <w:lang w:val="en-NZ"/>
        </w:rPr>
      </w:pPr>
    </w:p>
    <w:p w:rsidR="009267AB" w:rsidRDefault="009267AB" w:rsidP="009267AB">
      <w:pPr>
        <w:jc w:val="left"/>
        <w:rPr>
          <w:lang w:val="en-NZ"/>
        </w:rPr>
      </w:pPr>
      <w:r>
        <w:rPr>
          <w:lang w:val="en-NZ"/>
        </w:rPr>
        <w:t>That the submission be declined.</w:t>
      </w:r>
    </w:p>
    <w:p w:rsidR="002E77DC" w:rsidRDefault="002E77DC">
      <w:pPr>
        <w:jc w:val="left"/>
      </w:pPr>
      <w:r>
        <w:br w:type="page"/>
      </w:r>
    </w:p>
    <w:p w:rsidR="00ED70F1" w:rsidRPr="00DB4CC5" w:rsidRDefault="00ED70F1" w:rsidP="00ED70F1">
      <w:pPr>
        <w:pStyle w:val="Heading1"/>
      </w:pPr>
      <w:bookmarkStart w:id="21" w:name="_Toc432411909"/>
      <w:r>
        <w:t>International tax issues</w:t>
      </w:r>
      <w:bookmarkEnd w:id="21"/>
    </w:p>
    <w:p w:rsidR="00ED70F1" w:rsidRPr="00DB4CC5" w:rsidRDefault="00ED70F1" w:rsidP="00ED70F1">
      <w:pPr>
        <w:rPr>
          <w:lang w:val="en-NZ"/>
        </w:rPr>
      </w:pPr>
    </w:p>
    <w:p w:rsidR="00ED70F1" w:rsidRDefault="00ED70F1" w:rsidP="00ED70F1">
      <w:pPr>
        <w:pStyle w:val="Heading3"/>
        <w:rPr>
          <w:lang w:val="en-NZ"/>
        </w:rPr>
      </w:pPr>
      <w:r>
        <w:rPr>
          <w:lang w:val="en-NZ"/>
        </w:rPr>
        <w:t xml:space="preserve">Clause </w:t>
      </w:r>
      <w:r w:rsidR="002E77DC">
        <w:rPr>
          <w:lang w:val="en-NZ"/>
        </w:rPr>
        <w:t>4</w:t>
      </w:r>
    </w:p>
    <w:p w:rsidR="00ED70F1" w:rsidRDefault="00ED70F1" w:rsidP="00ED70F1">
      <w:pPr>
        <w:rPr>
          <w:lang w:val="en-NZ"/>
        </w:rPr>
      </w:pPr>
    </w:p>
    <w:p w:rsidR="00ED70F1" w:rsidRPr="00DB4CC5" w:rsidRDefault="00ED70F1" w:rsidP="00ED70F1">
      <w:pPr>
        <w:rPr>
          <w:lang w:val="en-NZ"/>
        </w:rPr>
      </w:pPr>
    </w:p>
    <w:p w:rsidR="00ED70F1" w:rsidRPr="00DB4CC5" w:rsidRDefault="00ED70F1" w:rsidP="00ED70F1">
      <w:pPr>
        <w:pStyle w:val="Heading5"/>
        <w:ind w:left="794" w:hanging="794"/>
        <w:rPr>
          <w:lang w:val="en-NZ"/>
        </w:rPr>
      </w:pPr>
      <w:bookmarkStart w:id="22" w:name="_Toc432411910"/>
      <w:r w:rsidRPr="00DB4CC5">
        <w:rPr>
          <w:lang w:val="en-NZ"/>
        </w:rPr>
        <w:t>Issue:</w:t>
      </w:r>
      <w:r w:rsidRPr="00DB4CC5">
        <w:rPr>
          <w:lang w:val="en-NZ"/>
        </w:rPr>
        <w:tab/>
      </w:r>
      <w:r>
        <w:rPr>
          <w:lang w:val="en-NZ"/>
        </w:rPr>
        <w:t>Limit to property situated in New Zealand</w:t>
      </w:r>
      <w:bookmarkEnd w:id="22"/>
    </w:p>
    <w:p w:rsidR="00ED70F1" w:rsidRPr="00DB4CC5" w:rsidRDefault="00ED70F1" w:rsidP="00ED70F1">
      <w:pPr>
        <w:rPr>
          <w:lang w:val="en-NZ"/>
        </w:rPr>
      </w:pPr>
    </w:p>
    <w:p w:rsidR="00ED70F1" w:rsidRPr="00DB4CC5" w:rsidRDefault="00ED70F1" w:rsidP="00ED70F1">
      <w:pPr>
        <w:rPr>
          <w:lang w:val="en-NZ"/>
        </w:rPr>
      </w:pPr>
    </w:p>
    <w:p w:rsidR="00ED70F1" w:rsidRPr="00DB4CC5" w:rsidRDefault="00ED70F1" w:rsidP="00ED70F1">
      <w:pPr>
        <w:pStyle w:val="Heading2"/>
        <w:rPr>
          <w:lang w:val="en-NZ"/>
        </w:rPr>
      </w:pPr>
      <w:r w:rsidRPr="00DB4CC5">
        <w:rPr>
          <w:lang w:val="en-NZ"/>
        </w:rPr>
        <w:t>Submission</w:t>
      </w:r>
      <w:r w:rsidR="0076263F">
        <w:rPr>
          <w:lang w:val="en-NZ"/>
        </w:rPr>
        <w:t>s</w:t>
      </w:r>
    </w:p>
    <w:p w:rsidR="00ED70F1" w:rsidRPr="00DB4CC5" w:rsidRDefault="00ED70F1" w:rsidP="00ED70F1">
      <w:pPr>
        <w:pStyle w:val="Heading4"/>
        <w:rPr>
          <w:lang w:val="en-NZ"/>
        </w:rPr>
      </w:pPr>
      <w:r>
        <w:rPr>
          <w:lang w:val="en-NZ"/>
        </w:rPr>
        <w:t>(Deloitte, Chartered Accountants Australia and New Zealand)</w:t>
      </w:r>
    </w:p>
    <w:p w:rsidR="00ED70F1" w:rsidRPr="00DB4CC5" w:rsidRDefault="00ED70F1" w:rsidP="00ED70F1">
      <w:pPr>
        <w:tabs>
          <w:tab w:val="left" w:pos="5295"/>
        </w:tabs>
        <w:rPr>
          <w:lang w:val="en-NZ"/>
        </w:rPr>
      </w:pPr>
    </w:p>
    <w:p w:rsidR="00ED70F1" w:rsidRDefault="00ED70F1" w:rsidP="00ED70F1">
      <w:pPr>
        <w:rPr>
          <w:lang w:val="en-NZ"/>
        </w:rPr>
      </w:pPr>
      <w:r>
        <w:rPr>
          <w:lang w:val="en-NZ"/>
        </w:rPr>
        <w:t>The bright-line test should not apply to property situated outside of New Zealand.</w:t>
      </w:r>
    </w:p>
    <w:p w:rsidR="00ED70F1" w:rsidRDefault="00ED70F1" w:rsidP="00ED70F1">
      <w:pPr>
        <w:rPr>
          <w:lang w:val="en-NZ"/>
        </w:rPr>
      </w:pPr>
    </w:p>
    <w:p w:rsidR="00ED70F1" w:rsidRDefault="00ED70F1" w:rsidP="00ED70F1">
      <w:pPr>
        <w:rPr>
          <w:lang w:val="en-NZ"/>
        </w:rPr>
      </w:pPr>
      <w:r>
        <w:rPr>
          <w:lang w:val="en-NZ"/>
        </w:rPr>
        <w:t xml:space="preserve">Covering property outside of New Zealand goes beyond the scope of the bright-line bill which is to address </w:t>
      </w:r>
      <w:r w:rsidR="0076263F">
        <w:rPr>
          <w:lang w:val="en-NZ"/>
        </w:rPr>
        <w:t xml:space="preserve">high turnover </w:t>
      </w:r>
      <w:r>
        <w:rPr>
          <w:lang w:val="en-NZ"/>
        </w:rPr>
        <w:t>in the New Zealand residential property market</w:t>
      </w:r>
      <w:r w:rsidR="00F16E3E">
        <w:rPr>
          <w:lang w:val="en-NZ"/>
        </w:rPr>
        <w:t>.  I</w:t>
      </w:r>
      <w:r>
        <w:rPr>
          <w:lang w:val="en-NZ"/>
        </w:rPr>
        <w:t>t would also require additional resources from Inland Revenue to track overseas transactions</w:t>
      </w:r>
      <w:r w:rsidR="0076263F">
        <w:rPr>
          <w:lang w:val="en-NZ"/>
        </w:rPr>
        <w:t>.</w:t>
      </w:r>
    </w:p>
    <w:p w:rsidR="00ED70F1" w:rsidRDefault="00ED70F1" w:rsidP="00ED70F1">
      <w:pPr>
        <w:rPr>
          <w:lang w:val="en-NZ"/>
        </w:rPr>
      </w:pPr>
    </w:p>
    <w:p w:rsidR="00ED70F1" w:rsidRDefault="00ED70F1" w:rsidP="00ED70F1">
      <w:pPr>
        <w:rPr>
          <w:lang w:val="en-NZ"/>
        </w:rPr>
      </w:pPr>
      <w:r>
        <w:rPr>
          <w:lang w:val="en-NZ"/>
        </w:rPr>
        <w:t>Existing provisions sufficiently cover overseas property owned by New Zealand residents.</w:t>
      </w:r>
    </w:p>
    <w:p w:rsidR="00ED70F1" w:rsidRDefault="00ED70F1" w:rsidP="00ED70F1">
      <w:pPr>
        <w:rPr>
          <w:lang w:val="en-NZ"/>
        </w:rPr>
      </w:pPr>
    </w:p>
    <w:p w:rsidR="00ED70F1" w:rsidRPr="00DB4CC5" w:rsidRDefault="00ED70F1" w:rsidP="00ED70F1">
      <w:pPr>
        <w:rPr>
          <w:lang w:val="en-NZ"/>
        </w:rPr>
      </w:pPr>
      <w:r>
        <w:rPr>
          <w:lang w:val="en-NZ"/>
        </w:rPr>
        <w:t>It should not be assumed that the land registration system in overseas jurisdictions is as accurate and reliable as the New Zealand land transfer system</w:t>
      </w:r>
      <w:r w:rsidR="00AF6FF5">
        <w:rPr>
          <w:lang w:val="en-NZ"/>
        </w:rPr>
        <w:t>.</w:t>
      </w:r>
      <w:r>
        <w:rPr>
          <w:lang w:val="en-NZ"/>
        </w:rPr>
        <w:t xml:space="preserve"> </w:t>
      </w:r>
      <w:r w:rsidRPr="009B557D">
        <w:rPr>
          <w:i/>
          <w:lang w:val="en-NZ"/>
        </w:rPr>
        <w:t>(Chartered Accountants Australia and New Zealand)</w:t>
      </w:r>
    </w:p>
    <w:p w:rsidR="00ED70F1" w:rsidRPr="00DB4CC5" w:rsidRDefault="00ED70F1" w:rsidP="00ED70F1">
      <w:pPr>
        <w:rPr>
          <w:lang w:val="en-NZ"/>
        </w:rPr>
      </w:pPr>
    </w:p>
    <w:p w:rsidR="00ED70F1" w:rsidRPr="00DB4CC5" w:rsidRDefault="00ED70F1" w:rsidP="00ED70F1">
      <w:pPr>
        <w:pStyle w:val="Heading2"/>
        <w:rPr>
          <w:lang w:val="en-NZ"/>
        </w:rPr>
      </w:pPr>
      <w:r w:rsidRPr="00DB4CC5">
        <w:rPr>
          <w:lang w:val="en-NZ"/>
        </w:rPr>
        <w:t>Comment</w:t>
      </w:r>
    </w:p>
    <w:p w:rsidR="00ED70F1" w:rsidRPr="00DB4CC5" w:rsidRDefault="00ED70F1" w:rsidP="00ED70F1">
      <w:pPr>
        <w:rPr>
          <w:lang w:val="en-NZ"/>
        </w:rPr>
      </w:pPr>
    </w:p>
    <w:p w:rsidR="00ED70F1" w:rsidRDefault="00ED70F1" w:rsidP="00ED70F1">
      <w:pPr>
        <w:rPr>
          <w:lang w:val="en-NZ"/>
        </w:rPr>
      </w:pPr>
      <w:r>
        <w:rPr>
          <w:lang w:val="en-NZ"/>
        </w:rPr>
        <w:t>New Zealand residents are taxed on their worldwide income</w:t>
      </w:r>
      <w:r w:rsidR="00F16E3E">
        <w:rPr>
          <w:lang w:val="en-NZ"/>
        </w:rPr>
        <w:t>.  I</w:t>
      </w:r>
      <w:r>
        <w:rPr>
          <w:lang w:val="en-NZ"/>
        </w:rPr>
        <w:t xml:space="preserve">t would be inconsistent with this general </w:t>
      </w:r>
      <w:r w:rsidR="00043811">
        <w:rPr>
          <w:lang w:val="en-NZ"/>
        </w:rPr>
        <w:t>principle</w:t>
      </w:r>
      <w:r>
        <w:rPr>
          <w:lang w:val="en-NZ"/>
        </w:rPr>
        <w:t xml:space="preserve"> for New Zealand residents to be taxed only on their New Zealand land sales.</w:t>
      </w:r>
    </w:p>
    <w:p w:rsidR="00ED70F1" w:rsidRDefault="00ED70F1" w:rsidP="00ED70F1">
      <w:pPr>
        <w:rPr>
          <w:lang w:val="en-NZ"/>
        </w:rPr>
      </w:pPr>
    </w:p>
    <w:p w:rsidR="00ED70F1" w:rsidRDefault="00ED70F1" w:rsidP="00ED70F1">
      <w:pPr>
        <w:rPr>
          <w:lang w:val="en-NZ"/>
        </w:rPr>
      </w:pPr>
      <w:r>
        <w:rPr>
          <w:lang w:val="en-NZ"/>
        </w:rPr>
        <w:t>The bright-line test is intended to supplement the intention test in the land sale rules which already applies to properties situated outside of New Zealand</w:t>
      </w:r>
      <w:r w:rsidR="00F16E3E">
        <w:rPr>
          <w:lang w:val="en-NZ"/>
        </w:rPr>
        <w:t>.  A</w:t>
      </w:r>
      <w:r>
        <w:rPr>
          <w:lang w:val="en-NZ"/>
        </w:rPr>
        <w:t xml:space="preserve">s a result, we consider that the bright-line test should apply to properties situated outside of New Zealand when </w:t>
      </w:r>
      <w:r w:rsidR="004E38AE">
        <w:rPr>
          <w:lang w:val="en-NZ"/>
        </w:rPr>
        <w:t>they fall within the bright-line period.</w:t>
      </w:r>
    </w:p>
    <w:p w:rsidR="00ED70F1" w:rsidRPr="00DB4CC5" w:rsidRDefault="00ED70F1" w:rsidP="00ED70F1">
      <w:pPr>
        <w:rPr>
          <w:lang w:val="en-NZ"/>
        </w:rPr>
      </w:pPr>
    </w:p>
    <w:p w:rsidR="00ED70F1" w:rsidRPr="00DB4CC5" w:rsidRDefault="00ED70F1" w:rsidP="00ED70F1">
      <w:pPr>
        <w:pStyle w:val="Heading2"/>
        <w:rPr>
          <w:lang w:val="en-NZ"/>
        </w:rPr>
      </w:pPr>
      <w:r w:rsidRPr="00DB4CC5">
        <w:rPr>
          <w:lang w:val="en-NZ"/>
        </w:rPr>
        <w:t>Recommendation</w:t>
      </w:r>
    </w:p>
    <w:p w:rsidR="00ED70F1" w:rsidRPr="00DB4CC5" w:rsidRDefault="00ED70F1" w:rsidP="00ED70F1">
      <w:pPr>
        <w:rPr>
          <w:lang w:val="en-NZ"/>
        </w:rPr>
      </w:pPr>
    </w:p>
    <w:p w:rsidR="00ED70F1" w:rsidRDefault="00ED70F1" w:rsidP="00ED70F1">
      <w:pPr>
        <w:rPr>
          <w:lang w:val="en-NZ"/>
        </w:rPr>
      </w:pPr>
      <w:r w:rsidRPr="00DB4CC5">
        <w:rPr>
          <w:lang w:val="en-NZ"/>
        </w:rPr>
        <w:t>That the submission</w:t>
      </w:r>
      <w:r w:rsidR="0076263F">
        <w:rPr>
          <w:lang w:val="en-NZ"/>
        </w:rPr>
        <w:t>s</w:t>
      </w:r>
      <w:r w:rsidRPr="00DB4CC5">
        <w:rPr>
          <w:lang w:val="en-NZ"/>
        </w:rPr>
        <w:t xml:space="preserve"> be </w:t>
      </w:r>
      <w:r>
        <w:rPr>
          <w:lang w:val="en-NZ"/>
        </w:rPr>
        <w:t>declined</w:t>
      </w:r>
      <w:r w:rsidRPr="00DB4CC5">
        <w:rPr>
          <w:lang w:val="en-NZ"/>
        </w:rPr>
        <w:t>.</w:t>
      </w:r>
    </w:p>
    <w:p w:rsidR="00DB207C" w:rsidRPr="00DB4CC5" w:rsidRDefault="00DB207C" w:rsidP="00DB207C">
      <w:pPr>
        <w:pBdr>
          <w:bottom w:val="single" w:sz="4" w:space="1" w:color="auto"/>
        </w:pBdr>
        <w:rPr>
          <w:lang w:val="en-NZ"/>
        </w:rPr>
      </w:pPr>
    </w:p>
    <w:p w:rsidR="00DB207C" w:rsidRPr="00F45904" w:rsidRDefault="00DB207C" w:rsidP="00DB207C">
      <w:pPr>
        <w:jc w:val="left"/>
        <w:rPr>
          <w:sz w:val="26"/>
          <w:lang w:val="en-NZ"/>
        </w:rPr>
      </w:pPr>
    </w:p>
    <w:p w:rsidR="007E7996" w:rsidRPr="00F45904" w:rsidRDefault="007E7996" w:rsidP="00DB207C">
      <w:pPr>
        <w:jc w:val="left"/>
        <w:rPr>
          <w:sz w:val="26"/>
          <w:lang w:val="en-NZ"/>
        </w:rPr>
      </w:pPr>
    </w:p>
    <w:p w:rsidR="00DB207C" w:rsidRPr="000F76D8" w:rsidRDefault="00DB207C" w:rsidP="000F76D8">
      <w:pPr>
        <w:pStyle w:val="Heading5"/>
        <w:ind w:left="794" w:hanging="794"/>
        <w:rPr>
          <w:lang w:val="en-NZ"/>
        </w:rPr>
      </w:pPr>
      <w:bookmarkStart w:id="23" w:name="_Toc432411911"/>
      <w:r w:rsidRPr="000F76D8">
        <w:rPr>
          <w:lang w:val="en-NZ"/>
        </w:rPr>
        <w:t>Issue:</w:t>
      </w:r>
      <w:r w:rsidRPr="000F76D8">
        <w:rPr>
          <w:lang w:val="en-NZ"/>
        </w:rPr>
        <w:tab/>
      </w:r>
      <w:r w:rsidR="000F76D8">
        <w:rPr>
          <w:lang w:val="en-NZ"/>
        </w:rPr>
        <w:t>Claiming foreign tax credits</w:t>
      </w:r>
      <w:bookmarkEnd w:id="23"/>
    </w:p>
    <w:p w:rsidR="00DB207C" w:rsidRPr="00DB4CC5" w:rsidRDefault="00DB207C" w:rsidP="00DB207C">
      <w:pPr>
        <w:rPr>
          <w:lang w:val="en-NZ"/>
        </w:rPr>
      </w:pPr>
    </w:p>
    <w:p w:rsidR="00DB207C" w:rsidRPr="00DB4CC5" w:rsidRDefault="00DB207C" w:rsidP="00DB207C">
      <w:pPr>
        <w:rPr>
          <w:lang w:val="en-NZ"/>
        </w:rPr>
      </w:pPr>
    </w:p>
    <w:p w:rsidR="00DB207C" w:rsidRPr="00DB4CC5" w:rsidRDefault="00DB207C" w:rsidP="00DB207C">
      <w:pPr>
        <w:pStyle w:val="Heading2"/>
        <w:rPr>
          <w:lang w:val="en-NZ"/>
        </w:rPr>
      </w:pPr>
      <w:r w:rsidRPr="00DB4CC5">
        <w:rPr>
          <w:lang w:val="en-NZ"/>
        </w:rPr>
        <w:t>Submission</w:t>
      </w:r>
    </w:p>
    <w:p w:rsidR="00DB207C" w:rsidRPr="00DB4CC5" w:rsidRDefault="00DB207C" w:rsidP="00DB207C">
      <w:pPr>
        <w:pStyle w:val="Heading4"/>
        <w:rPr>
          <w:lang w:val="en-NZ"/>
        </w:rPr>
      </w:pPr>
      <w:r>
        <w:rPr>
          <w:lang w:val="en-NZ"/>
        </w:rPr>
        <w:t>(Deloitte, Chartered Accountants Australia and New Zealand)</w:t>
      </w:r>
    </w:p>
    <w:p w:rsidR="00DB207C" w:rsidRPr="00DB4CC5" w:rsidRDefault="00DB207C" w:rsidP="00DB207C">
      <w:pPr>
        <w:tabs>
          <w:tab w:val="left" w:pos="5295"/>
        </w:tabs>
        <w:rPr>
          <w:lang w:val="en-NZ"/>
        </w:rPr>
      </w:pPr>
    </w:p>
    <w:p w:rsidR="00DB207C" w:rsidRDefault="00DB207C" w:rsidP="00DB207C">
      <w:pPr>
        <w:rPr>
          <w:lang w:val="en-NZ"/>
        </w:rPr>
      </w:pPr>
      <w:r>
        <w:rPr>
          <w:lang w:val="en-NZ"/>
        </w:rPr>
        <w:t>Applying the bright-line test to foreign land risks creating double taxation where a foreign jurisdiction applies a capital gains tax to the same sale of land.</w:t>
      </w:r>
    </w:p>
    <w:p w:rsidR="00DB207C" w:rsidRDefault="00DB207C" w:rsidP="00DB207C">
      <w:pPr>
        <w:rPr>
          <w:lang w:val="en-NZ"/>
        </w:rPr>
      </w:pPr>
    </w:p>
    <w:p w:rsidR="00DB207C" w:rsidRPr="00DB4CC5" w:rsidRDefault="00DB207C" w:rsidP="00DB207C">
      <w:pPr>
        <w:rPr>
          <w:lang w:val="en-NZ"/>
        </w:rPr>
      </w:pPr>
      <w:r>
        <w:rPr>
          <w:lang w:val="en-NZ"/>
        </w:rPr>
        <w:t xml:space="preserve">New Zealand domestic law and our </w:t>
      </w:r>
      <w:r w:rsidR="0076263F">
        <w:rPr>
          <w:lang w:val="en-NZ"/>
        </w:rPr>
        <w:t>d</w:t>
      </w:r>
      <w:r>
        <w:rPr>
          <w:lang w:val="en-NZ"/>
        </w:rPr>
        <w:t xml:space="preserve">ouble </w:t>
      </w:r>
      <w:r w:rsidR="0076263F">
        <w:rPr>
          <w:lang w:val="en-NZ"/>
        </w:rPr>
        <w:t>t</w:t>
      </w:r>
      <w:r>
        <w:rPr>
          <w:lang w:val="en-NZ"/>
        </w:rPr>
        <w:t xml:space="preserve">ax </w:t>
      </w:r>
      <w:r w:rsidR="0076263F">
        <w:rPr>
          <w:lang w:val="en-NZ"/>
        </w:rPr>
        <w:t>a</w:t>
      </w:r>
      <w:r>
        <w:rPr>
          <w:lang w:val="en-NZ"/>
        </w:rPr>
        <w:t>greements are unlikely to provide for a foreign tax credit for capital gains tax paid on overseas land.</w:t>
      </w:r>
    </w:p>
    <w:p w:rsidR="00DB207C" w:rsidRDefault="00DB207C" w:rsidP="00DB207C">
      <w:pPr>
        <w:rPr>
          <w:lang w:val="en-NZ"/>
        </w:rPr>
      </w:pPr>
    </w:p>
    <w:p w:rsidR="00DB207C" w:rsidRDefault="00DB207C" w:rsidP="00DB207C">
      <w:pPr>
        <w:rPr>
          <w:lang w:val="en-NZ"/>
        </w:rPr>
      </w:pPr>
      <w:r>
        <w:rPr>
          <w:lang w:val="en-NZ"/>
        </w:rPr>
        <w:t xml:space="preserve">If the submission to limit the application of these rules to land in New Zealand is not accepted, the international tax issues should be given further consideration and it should be clarified that </w:t>
      </w:r>
      <w:r w:rsidR="009617D6">
        <w:rPr>
          <w:lang w:val="en-NZ"/>
        </w:rPr>
        <w:t>foreign tax credits</w:t>
      </w:r>
      <w:r>
        <w:rPr>
          <w:lang w:val="en-NZ"/>
        </w:rPr>
        <w:t xml:space="preserve"> are available</w:t>
      </w:r>
      <w:r w:rsidR="009617D6">
        <w:rPr>
          <w:lang w:val="en-NZ"/>
        </w:rPr>
        <w:t>.</w:t>
      </w:r>
      <w:r>
        <w:rPr>
          <w:lang w:val="en-NZ"/>
        </w:rPr>
        <w:t xml:space="preserve"> </w:t>
      </w:r>
      <w:r w:rsidRPr="009B557D">
        <w:rPr>
          <w:i/>
          <w:lang w:val="en-NZ"/>
        </w:rPr>
        <w:t>(Deloitte)</w:t>
      </w:r>
    </w:p>
    <w:p w:rsidR="00DB207C" w:rsidRPr="00DB4CC5" w:rsidRDefault="00DB207C" w:rsidP="00DB207C">
      <w:pPr>
        <w:rPr>
          <w:lang w:val="en-NZ"/>
        </w:rPr>
      </w:pPr>
    </w:p>
    <w:p w:rsidR="00DB207C" w:rsidRPr="00DB4CC5" w:rsidRDefault="00DB207C" w:rsidP="00DB207C">
      <w:pPr>
        <w:pStyle w:val="Heading2"/>
        <w:rPr>
          <w:lang w:val="en-NZ"/>
        </w:rPr>
      </w:pPr>
      <w:r w:rsidRPr="00DB4CC5">
        <w:rPr>
          <w:lang w:val="en-NZ"/>
        </w:rPr>
        <w:t>Comment</w:t>
      </w:r>
    </w:p>
    <w:p w:rsidR="00DB207C" w:rsidRPr="00DB4CC5" w:rsidRDefault="00DB207C" w:rsidP="00DB207C">
      <w:pPr>
        <w:rPr>
          <w:lang w:val="en-NZ"/>
        </w:rPr>
      </w:pPr>
    </w:p>
    <w:p w:rsidR="00DB207C" w:rsidRDefault="00DB207C" w:rsidP="00DB207C">
      <w:pPr>
        <w:rPr>
          <w:lang w:val="en-NZ"/>
        </w:rPr>
      </w:pPr>
      <w:r>
        <w:rPr>
          <w:lang w:val="en-NZ"/>
        </w:rPr>
        <w:t>The normal foreign tax credit rules will apply to foreign land subject to the bright-line test</w:t>
      </w:r>
      <w:r w:rsidR="00F16E3E">
        <w:rPr>
          <w:lang w:val="en-NZ"/>
        </w:rPr>
        <w:t>.  T</w:t>
      </w:r>
      <w:r>
        <w:rPr>
          <w:lang w:val="en-NZ"/>
        </w:rPr>
        <w:t>herefore if sellers satisfy the existing foreign tax credit requirements they will receive a foreign tax credit.</w:t>
      </w:r>
    </w:p>
    <w:p w:rsidR="00DB207C" w:rsidRDefault="00DB207C" w:rsidP="00DB207C">
      <w:pPr>
        <w:rPr>
          <w:lang w:val="en-NZ"/>
        </w:rPr>
      </w:pPr>
    </w:p>
    <w:p w:rsidR="00DB207C" w:rsidRDefault="00DB207C" w:rsidP="00DB207C">
      <w:pPr>
        <w:rPr>
          <w:lang w:val="en-NZ"/>
        </w:rPr>
      </w:pPr>
      <w:r>
        <w:rPr>
          <w:lang w:val="en-NZ"/>
        </w:rPr>
        <w:t>These tax credit rules apply to sales that fall within the existing land sale rules</w:t>
      </w:r>
      <w:r w:rsidR="00F16E3E">
        <w:rPr>
          <w:lang w:val="en-NZ"/>
        </w:rPr>
        <w:t>.  W</w:t>
      </w:r>
      <w:r>
        <w:rPr>
          <w:lang w:val="en-NZ"/>
        </w:rPr>
        <w:t>e would not want to give preferential treatment to sales that are made within the bright-line period.</w:t>
      </w:r>
    </w:p>
    <w:p w:rsidR="00F0046C" w:rsidRDefault="00F0046C" w:rsidP="00DB207C">
      <w:pPr>
        <w:rPr>
          <w:lang w:val="en-NZ"/>
        </w:rPr>
      </w:pPr>
    </w:p>
    <w:p w:rsidR="00F0046C" w:rsidRDefault="00F0046C" w:rsidP="00DB207C">
      <w:pPr>
        <w:rPr>
          <w:lang w:val="en-NZ"/>
        </w:rPr>
      </w:pPr>
      <w:r>
        <w:rPr>
          <w:lang w:val="en-NZ"/>
        </w:rPr>
        <w:t xml:space="preserve">The transitional residence rules also </w:t>
      </w:r>
      <w:r w:rsidR="0076263F">
        <w:rPr>
          <w:lang w:val="en-NZ"/>
        </w:rPr>
        <w:t>reduce</w:t>
      </w:r>
      <w:r>
        <w:rPr>
          <w:lang w:val="en-NZ"/>
        </w:rPr>
        <w:t xml:space="preserve"> the scope of this issue for new migrants</w:t>
      </w:r>
      <w:r w:rsidR="00F16E3E">
        <w:rPr>
          <w:lang w:val="en-NZ"/>
        </w:rPr>
        <w:t>.  U</w:t>
      </w:r>
      <w:r>
        <w:rPr>
          <w:lang w:val="en-NZ"/>
        </w:rPr>
        <w:t>nder these rules, new migrants are not taxed on their foreign-source</w:t>
      </w:r>
      <w:r w:rsidR="0076263F">
        <w:rPr>
          <w:lang w:val="en-NZ"/>
        </w:rPr>
        <w:t>d</w:t>
      </w:r>
      <w:r>
        <w:rPr>
          <w:lang w:val="en-NZ"/>
        </w:rPr>
        <w:t xml:space="preserve"> income.</w:t>
      </w:r>
    </w:p>
    <w:p w:rsidR="00DB207C" w:rsidRPr="00DB4CC5" w:rsidRDefault="00DB207C" w:rsidP="00DB207C">
      <w:pPr>
        <w:rPr>
          <w:lang w:val="en-NZ"/>
        </w:rPr>
      </w:pPr>
    </w:p>
    <w:p w:rsidR="00DB207C" w:rsidRPr="00DB4CC5" w:rsidRDefault="00DB207C" w:rsidP="00DB207C">
      <w:pPr>
        <w:pStyle w:val="Heading2"/>
        <w:rPr>
          <w:lang w:val="en-NZ"/>
        </w:rPr>
      </w:pPr>
      <w:r w:rsidRPr="00DB4CC5">
        <w:rPr>
          <w:lang w:val="en-NZ"/>
        </w:rPr>
        <w:t>Recommendation</w:t>
      </w:r>
    </w:p>
    <w:p w:rsidR="00DB207C" w:rsidRPr="00DB4CC5" w:rsidRDefault="00DB207C" w:rsidP="00DB207C">
      <w:pPr>
        <w:rPr>
          <w:lang w:val="en-NZ"/>
        </w:rPr>
      </w:pPr>
    </w:p>
    <w:p w:rsidR="00DB207C" w:rsidRPr="00DB4CC5" w:rsidRDefault="00DB207C" w:rsidP="00DB207C">
      <w:pPr>
        <w:rPr>
          <w:lang w:val="en-NZ"/>
        </w:rPr>
      </w:pPr>
      <w:r>
        <w:rPr>
          <w:lang w:val="en-NZ"/>
        </w:rPr>
        <w:t>That the submission be declined.</w:t>
      </w:r>
    </w:p>
    <w:p w:rsidR="00ED70F1" w:rsidRPr="00DB4CC5" w:rsidRDefault="00ED70F1" w:rsidP="00ED70F1">
      <w:pPr>
        <w:pBdr>
          <w:bottom w:val="single" w:sz="4" w:space="1" w:color="auto"/>
        </w:pBdr>
        <w:rPr>
          <w:lang w:val="en-NZ"/>
        </w:rPr>
      </w:pPr>
    </w:p>
    <w:p w:rsidR="00ED70F1" w:rsidRDefault="00ED70F1" w:rsidP="00ED70F1">
      <w:pPr>
        <w:jc w:val="left"/>
      </w:pPr>
    </w:p>
    <w:p w:rsidR="007E7996" w:rsidRDefault="007E7996" w:rsidP="00ED70F1">
      <w:pPr>
        <w:jc w:val="left"/>
      </w:pPr>
    </w:p>
    <w:p w:rsidR="00ED70F1" w:rsidRPr="000F76D8" w:rsidRDefault="00ED70F1" w:rsidP="000F76D8">
      <w:pPr>
        <w:pStyle w:val="Heading5"/>
        <w:ind w:left="794" w:hanging="794"/>
        <w:rPr>
          <w:lang w:val="en-NZ"/>
        </w:rPr>
      </w:pPr>
      <w:bookmarkStart w:id="24" w:name="_Toc432411912"/>
      <w:r w:rsidRPr="000F76D8">
        <w:rPr>
          <w:lang w:val="en-NZ"/>
        </w:rPr>
        <w:t>Issue:</w:t>
      </w:r>
      <w:r w:rsidRPr="000F76D8">
        <w:rPr>
          <w:lang w:val="en-NZ"/>
        </w:rPr>
        <w:tab/>
        <w:t>Non-resident foreign</w:t>
      </w:r>
      <w:r w:rsidR="00836205">
        <w:rPr>
          <w:lang w:val="en-NZ"/>
        </w:rPr>
        <w:t>-</w:t>
      </w:r>
      <w:r w:rsidRPr="000F76D8">
        <w:rPr>
          <w:lang w:val="en-NZ"/>
        </w:rPr>
        <w:t>sourced income</w:t>
      </w:r>
      <w:bookmarkEnd w:id="24"/>
    </w:p>
    <w:p w:rsidR="00ED70F1" w:rsidRPr="00DB4CC5" w:rsidRDefault="00ED70F1" w:rsidP="00ED70F1">
      <w:pPr>
        <w:rPr>
          <w:lang w:val="en-NZ"/>
        </w:rPr>
      </w:pPr>
    </w:p>
    <w:p w:rsidR="00ED70F1" w:rsidRPr="00DB4CC5" w:rsidRDefault="00ED70F1" w:rsidP="00ED70F1">
      <w:pPr>
        <w:rPr>
          <w:lang w:val="en-NZ"/>
        </w:rPr>
      </w:pPr>
    </w:p>
    <w:p w:rsidR="00ED70F1" w:rsidRPr="00DB4CC5" w:rsidRDefault="00ED70F1" w:rsidP="00ED70F1">
      <w:pPr>
        <w:pStyle w:val="Heading2"/>
        <w:rPr>
          <w:lang w:val="en-NZ"/>
        </w:rPr>
      </w:pPr>
      <w:r w:rsidRPr="00DB4CC5">
        <w:rPr>
          <w:lang w:val="en-NZ"/>
        </w:rPr>
        <w:t>Submission</w:t>
      </w:r>
    </w:p>
    <w:p w:rsidR="00ED70F1" w:rsidRPr="00DB4CC5" w:rsidRDefault="002A7669" w:rsidP="00ED70F1">
      <w:pPr>
        <w:pStyle w:val="Heading4"/>
        <w:rPr>
          <w:lang w:val="en-NZ"/>
        </w:rPr>
      </w:pPr>
      <w:r>
        <w:rPr>
          <w:lang w:val="en-NZ"/>
        </w:rPr>
        <w:t>(</w:t>
      </w:r>
      <w:r w:rsidR="00ED70F1">
        <w:rPr>
          <w:lang w:val="en-NZ"/>
        </w:rPr>
        <w:t>Deloitte</w:t>
      </w:r>
      <w:r>
        <w:rPr>
          <w:lang w:val="en-NZ"/>
        </w:rPr>
        <w:t>)</w:t>
      </w:r>
    </w:p>
    <w:p w:rsidR="00ED70F1" w:rsidRPr="00DB4CC5" w:rsidRDefault="00ED70F1" w:rsidP="00ED70F1">
      <w:pPr>
        <w:tabs>
          <w:tab w:val="left" w:pos="5295"/>
        </w:tabs>
        <w:rPr>
          <w:lang w:val="en-NZ"/>
        </w:rPr>
      </w:pPr>
    </w:p>
    <w:p w:rsidR="00ED70F1" w:rsidRPr="00DB4CC5" w:rsidRDefault="00ED70F1" w:rsidP="00ED70F1">
      <w:pPr>
        <w:rPr>
          <w:lang w:val="en-NZ"/>
        </w:rPr>
      </w:pPr>
      <w:r>
        <w:rPr>
          <w:lang w:val="en-NZ"/>
        </w:rPr>
        <w:t xml:space="preserve">The bright-line should not apply to land outside of New Zealand </w:t>
      </w:r>
      <w:r w:rsidR="00836205">
        <w:rPr>
          <w:lang w:val="en-NZ"/>
        </w:rPr>
        <w:t xml:space="preserve">that </w:t>
      </w:r>
      <w:r>
        <w:rPr>
          <w:lang w:val="en-NZ"/>
        </w:rPr>
        <w:t>is purchased and sold by non-residents as this should fall within “non-residents’ foreign</w:t>
      </w:r>
      <w:r w:rsidR="00836205">
        <w:rPr>
          <w:lang w:val="en-NZ"/>
        </w:rPr>
        <w:t>-</w:t>
      </w:r>
      <w:r>
        <w:rPr>
          <w:lang w:val="en-NZ"/>
        </w:rPr>
        <w:t>sourced income”, as defined under existing section BD 1(4) of the Income Tax Act 2007.</w:t>
      </w:r>
    </w:p>
    <w:p w:rsidR="00ED70F1" w:rsidRPr="00DB4CC5" w:rsidRDefault="00ED70F1" w:rsidP="00ED70F1">
      <w:pPr>
        <w:rPr>
          <w:lang w:val="en-NZ"/>
        </w:rPr>
      </w:pPr>
    </w:p>
    <w:p w:rsidR="00ED70F1" w:rsidRPr="00DB4CC5" w:rsidRDefault="00ED70F1" w:rsidP="00ED70F1">
      <w:pPr>
        <w:pStyle w:val="Heading2"/>
        <w:rPr>
          <w:lang w:val="en-NZ"/>
        </w:rPr>
      </w:pPr>
      <w:r w:rsidRPr="00DB4CC5">
        <w:rPr>
          <w:lang w:val="en-NZ"/>
        </w:rPr>
        <w:t>Comment</w:t>
      </w:r>
    </w:p>
    <w:p w:rsidR="00ED70F1" w:rsidRPr="00DB4CC5" w:rsidRDefault="00ED70F1" w:rsidP="00ED70F1">
      <w:pPr>
        <w:rPr>
          <w:lang w:val="en-NZ"/>
        </w:rPr>
      </w:pPr>
    </w:p>
    <w:p w:rsidR="00ED70F1" w:rsidRPr="00DB4CC5" w:rsidRDefault="00ED70F1" w:rsidP="00ED70F1">
      <w:pPr>
        <w:rPr>
          <w:lang w:val="en-NZ"/>
        </w:rPr>
      </w:pPr>
      <w:r>
        <w:rPr>
          <w:lang w:val="en-NZ"/>
        </w:rPr>
        <w:t>New Zealand does not tax non-residents on their foreign</w:t>
      </w:r>
      <w:r w:rsidR="007D2517">
        <w:rPr>
          <w:lang w:val="en-NZ"/>
        </w:rPr>
        <w:t>-</w:t>
      </w:r>
      <w:r>
        <w:rPr>
          <w:lang w:val="en-NZ"/>
        </w:rPr>
        <w:t>sourced income under section BD 1(4)</w:t>
      </w:r>
      <w:r w:rsidR="00F16E3E">
        <w:rPr>
          <w:lang w:val="en-NZ"/>
        </w:rPr>
        <w:t>.  T</w:t>
      </w:r>
      <w:r>
        <w:rPr>
          <w:lang w:val="en-NZ"/>
        </w:rPr>
        <w:t>his section will mean that the bright-line test will not apply to overseas land sold by a non-resident.</w:t>
      </w:r>
    </w:p>
    <w:p w:rsidR="00ED70F1" w:rsidRPr="00DB4CC5" w:rsidRDefault="00ED70F1" w:rsidP="00ED70F1">
      <w:pPr>
        <w:rPr>
          <w:lang w:val="en-NZ"/>
        </w:rPr>
      </w:pPr>
    </w:p>
    <w:p w:rsidR="00ED70F1" w:rsidRPr="00DB4CC5" w:rsidRDefault="00ED70F1" w:rsidP="00ED70F1">
      <w:pPr>
        <w:pStyle w:val="Heading2"/>
        <w:rPr>
          <w:lang w:val="en-NZ"/>
        </w:rPr>
      </w:pPr>
      <w:r w:rsidRPr="00DB4CC5">
        <w:rPr>
          <w:lang w:val="en-NZ"/>
        </w:rPr>
        <w:t>Recommendation</w:t>
      </w:r>
    </w:p>
    <w:p w:rsidR="00ED70F1" w:rsidRPr="00DB4CC5" w:rsidRDefault="00ED70F1" w:rsidP="00ED70F1">
      <w:pPr>
        <w:rPr>
          <w:lang w:val="en-NZ"/>
        </w:rPr>
      </w:pPr>
    </w:p>
    <w:p w:rsidR="00ED70F1" w:rsidRPr="00DB4CC5" w:rsidRDefault="00ED70F1" w:rsidP="00ED70F1">
      <w:pPr>
        <w:rPr>
          <w:lang w:val="en-NZ"/>
        </w:rPr>
      </w:pPr>
      <w:r w:rsidRPr="00DB4CC5">
        <w:rPr>
          <w:lang w:val="en-NZ"/>
        </w:rPr>
        <w:t xml:space="preserve">That the submission be </w:t>
      </w:r>
      <w:r>
        <w:rPr>
          <w:lang w:val="en-NZ"/>
        </w:rPr>
        <w:t>noted</w:t>
      </w:r>
      <w:r w:rsidRPr="00DB4CC5">
        <w:rPr>
          <w:lang w:val="en-NZ"/>
        </w:rPr>
        <w:t>.</w:t>
      </w:r>
    </w:p>
    <w:p w:rsidR="007D2517" w:rsidRDefault="007D2517">
      <w:pPr>
        <w:jc w:val="left"/>
        <w:rPr>
          <w:b/>
          <w:caps/>
          <w:sz w:val="26"/>
          <w:lang w:val="en-NZ"/>
        </w:rPr>
      </w:pPr>
      <w:r>
        <w:br w:type="page"/>
      </w:r>
    </w:p>
    <w:p w:rsidR="00B97F56" w:rsidRPr="00DB4CC5" w:rsidRDefault="000E7CA9" w:rsidP="00536A68">
      <w:pPr>
        <w:pStyle w:val="Heading1"/>
      </w:pPr>
      <w:bookmarkStart w:id="25" w:name="_Toc432411913"/>
      <w:r>
        <w:t>Two-</w:t>
      </w:r>
      <w:r w:rsidR="00D95FF8">
        <w:t>year period</w:t>
      </w:r>
      <w:bookmarkEnd w:id="25"/>
    </w:p>
    <w:p w:rsidR="00B97F56" w:rsidRPr="00DB4CC5" w:rsidRDefault="00B97F56" w:rsidP="00536A68">
      <w:pPr>
        <w:rPr>
          <w:lang w:val="en-NZ"/>
        </w:rPr>
      </w:pPr>
    </w:p>
    <w:p w:rsidR="00B97F56" w:rsidRDefault="00FD2863" w:rsidP="00416D3A">
      <w:pPr>
        <w:pStyle w:val="Heading3"/>
        <w:rPr>
          <w:lang w:val="en-NZ"/>
        </w:rPr>
      </w:pPr>
      <w:r>
        <w:rPr>
          <w:lang w:val="en-NZ"/>
        </w:rPr>
        <w:t>Clauses 4,</w:t>
      </w:r>
      <w:r w:rsidR="00522137">
        <w:rPr>
          <w:lang w:val="en-NZ"/>
        </w:rPr>
        <w:t xml:space="preserve"> </w:t>
      </w:r>
      <w:r>
        <w:rPr>
          <w:lang w:val="en-NZ"/>
        </w:rPr>
        <w:t>15(2), (3) and (4)</w:t>
      </w:r>
    </w:p>
    <w:p w:rsidR="00416D3A" w:rsidRDefault="00416D3A" w:rsidP="00536A68">
      <w:pPr>
        <w:rPr>
          <w:lang w:val="en-NZ"/>
        </w:rPr>
      </w:pPr>
    </w:p>
    <w:p w:rsidR="00416D3A" w:rsidRPr="00DB4CC5" w:rsidRDefault="00416D3A" w:rsidP="00536A68">
      <w:pPr>
        <w:rPr>
          <w:lang w:val="en-NZ"/>
        </w:rPr>
      </w:pPr>
    </w:p>
    <w:p w:rsidR="00C767F5" w:rsidRPr="00DB4CC5" w:rsidRDefault="00C767F5" w:rsidP="00C767F5">
      <w:pPr>
        <w:pStyle w:val="Heading5"/>
        <w:ind w:left="794" w:hanging="794"/>
        <w:rPr>
          <w:lang w:val="en-NZ"/>
        </w:rPr>
      </w:pPr>
      <w:bookmarkStart w:id="26" w:name="_Toc432411914"/>
      <w:r w:rsidRPr="00DB4CC5">
        <w:rPr>
          <w:lang w:val="en-NZ"/>
        </w:rPr>
        <w:t>Issue:</w:t>
      </w:r>
      <w:r w:rsidRPr="00DB4CC5">
        <w:rPr>
          <w:lang w:val="en-NZ"/>
        </w:rPr>
        <w:tab/>
      </w:r>
      <w:r w:rsidR="00E253CA">
        <w:rPr>
          <w:lang w:val="en-NZ"/>
        </w:rPr>
        <w:t>Start date for two</w:t>
      </w:r>
      <w:r w:rsidR="009E6344">
        <w:rPr>
          <w:lang w:val="en-NZ"/>
        </w:rPr>
        <w:t>-</w:t>
      </w:r>
      <w:r w:rsidR="00E253CA">
        <w:rPr>
          <w:lang w:val="en-NZ"/>
        </w:rPr>
        <w:t>year period</w:t>
      </w:r>
      <w:bookmarkEnd w:id="26"/>
    </w:p>
    <w:p w:rsidR="00C767F5" w:rsidRPr="00DB4CC5" w:rsidRDefault="00C767F5" w:rsidP="00C767F5">
      <w:pPr>
        <w:rPr>
          <w:lang w:val="en-NZ"/>
        </w:rPr>
      </w:pPr>
    </w:p>
    <w:p w:rsidR="00C767F5" w:rsidRPr="00DB4CC5" w:rsidRDefault="00C767F5" w:rsidP="00C767F5">
      <w:pPr>
        <w:rPr>
          <w:lang w:val="en-NZ"/>
        </w:rPr>
      </w:pPr>
    </w:p>
    <w:p w:rsidR="00C767F5" w:rsidRPr="00DB4CC5" w:rsidRDefault="00C767F5" w:rsidP="00C767F5">
      <w:pPr>
        <w:pStyle w:val="Heading2"/>
        <w:rPr>
          <w:lang w:val="en-NZ"/>
        </w:rPr>
      </w:pPr>
      <w:r w:rsidRPr="00DB4CC5">
        <w:rPr>
          <w:lang w:val="en-NZ"/>
        </w:rPr>
        <w:t>Submission</w:t>
      </w:r>
    </w:p>
    <w:p w:rsidR="00C767F5" w:rsidRPr="00DB4CC5" w:rsidRDefault="00C71390" w:rsidP="00C767F5">
      <w:pPr>
        <w:pStyle w:val="Heading4"/>
        <w:rPr>
          <w:lang w:val="en-NZ"/>
        </w:rPr>
      </w:pPr>
      <w:r>
        <w:rPr>
          <w:lang w:val="en-NZ"/>
        </w:rPr>
        <w:t>(Chartered Accountants Australia and New Zealand</w:t>
      </w:r>
      <w:r w:rsidR="00BD0C36">
        <w:rPr>
          <w:lang w:val="en-NZ"/>
        </w:rPr>
        <w:t xml:space="preserve">, </w:t>
      </w:r>
      <w:proofErr w:type="spellStart"/>
      <w:r w:rsidR="00BD0C36">
        <w:rPr>
          <w:lang w:val="en-NZ"/>
        </w:rPr>
        <w:t>nsaTax</w:t>
      </w:r>
      <w:proofErr w:type="spellEnd"/>
      <w:r w:rsidR="008F4833">
        <w:rPr>
          <w:lang w:val="en-NZ"/>
        </w:rPr>
        <w:t>, New Zealand Law Society</w:t>
      </w:r>
      <w:r w:rsidR="00A42C4D">
        <w:rPr>
          <w:lang w:val="en-NZ"/>
        </w:rPr>
        <w:t>,</w:t>
      </w:r>
      <w:r w:rsidR="009E6344">
        <w:rPr>
          <w:lang w:val="en-NZ"/>
        </w:rPr>
        <w:t xml:space="preserve"> P</w:t>
      </w:r>
      <w:r w:rsidR="00A42C4D">
        <w:rPr>
          <w:lang w:val="en-NZ"/>
        </w:rPr>
        <w:t>w</w:t>
      </w:r>
      <w:r w:rsidR="009E6344">
        <w:rPr>
          <w:lang w:val="en-NZ"/>
        </w:rPr>
        <w:t>C</w:t>
      </w:r>
      <w:r w:rsidR="006D646D">
        <w:rPr>
          <w:lang w:val="en-NZ"/>
        </w:rPr>
        <w:t>, Chapman Tripp</w:t>
      </w:r>
      <w:r w:rsidR="00A10303">
        <w:rPr>
          <w:lang w:val="en-NZ"/>
        </w:rPr>
        <w:t>, KPMG)</w:t>
      </w:r>
    </w:p>
    <w:p w:rsidR="00C767F5" w:rsidRPr="00DB4CC5" w:rsidRDefault="00C767F5" w:rsidP="00C767F5">
      <w:pPr>
        <w:tabs>
          <w:tab w:val="left" w:pos="5295"/>
        </w:tabs>
        <w:rPr>
          <w:lang w:val="en-NZ"/>
        </w:rPr>
      </w:pPr>
    </w:p>
    <w:p w:rsidR="00C767F5" w:rsidRDefault="00C71390" w:rsidP="00C767F5">
      <w:pPr>
        <w:rPr>
          <w:lang w:val="en-NZ"/>
        </w:rPr>
      </w:pPr>
      <w:r>
        <w:rPr>
          <w:lang w:val="en-NZ"/>
        </w:rPr>
        <w:t xml:space="preserve">Several submitters proposed that the start date for the </w:t>
      </w:r>
      <w:r w:rsidR="009E6344">
        <w:rPr>
          <w:lang w:val="en-NZ"/>
        </w:rPr>
        <w:t>two-</w:t>
      </w:r>
      <w:r>
        <w:rPr>
          <w:lang w:val="en-NZ"/>
        </w:rPr>
        <w:t>year bright-line period should be the date that a person enters into an agreement to purchase the land rather than the date they obtain registered title to the land.</w:t>
      </w:r>
    </w:p>
    <w:p w:rsidR="00C71390" w:rsidRDefault="00C71390" w:rsidP="00C767F5">
      <w:pPr>
        <w:rPr>
          <w:lang w:val="en-NZ"/>
        </w:rPr>
      </w:pPr>
    </w:p>
    <w:p w:rsidR="00C71390" w:rsidRDefault="00C71390" w:rsidP="00C767F5">
      <w:pPr>
        <w:rPr>
          <w:lang w:val="en-NZ"/>
        </w:rPr>
      </w:pPr>
      <w:r>
        <w:rPr>
          <w:lang w:val="en-NZ"/>
        </w:rPr>
        <w:t>The reasons given for this included:</w:t>
      </w:r>
    </w:p>
    <w:p w:rsidR="00A842F0" w:rsidRDefault="00A842F0" w:rsidP="00C767F5">
      <w:pPr>
        <w:rPr>
          <w:lang w:val="en-NZ"/>
        </w:rPr>
      </w:pPr>
    </w:p>
    <w:p w:rsidR="00C71390" w:rsidRDefault="009617D6" w:rsidP="007E7996">
      <w:pPr>
        <w:pStyle w:val="Bullets"/>
        <w:tabs>
          <w:tab w:val="clear" w:pos="851"/>
          <w:tab w:val="num" w:pos="567"/>
        </w:tabs>
        <w:spacing w:after="140"/>
        <w:ind w:left="567" w:hanging="567"/>
        <w:jc w:val="both"/>
        <w:rPr>
          <w:lang w:val="en-NZ"/>
        </w:rPr>
      </w:pPr>
      <w:proofErr w:type="gramStart"/>
      <w:r>
        <w:rPr>
          <w:lang w:val="en-NZ"/>
        </w:rPr>
        <w:t>t</w:t>
      </w:r>
      <w:r w:rsidR="00C311ED">
        <w:rPr>
          <w:lang w:val="en-NZ"/>
        </w:rPr>
        <w:t>he</w:t>
      </w:r>
      <w:proofErr w:type="gramEnd"/>
      <w:r w:rsidR="00C311ED">
        <w:rPr>
          <w:lang w:val="en-NZ"/>
        </w:rPr>
        <w:t xml:space="preserve"> current land sale rules regard the acquisition date as the date a person enters into an agreement to purchase the land</w:t>
      </w:r>
      <w:r w:rsidR="00F16E3E">
        <w:rPr>
          <w:lang w:val="en-NZ"/>
        </w:rPr>
        <w:t>.  T</w:t>
      </w:r>
      <w:r w:rsidR="00C311ED">
        <w:rPr>
          <w:lang w:val="en-NZ"/>
        </w:rPr>
        <w:t xml:space="preserve">he start date for the bright-line period </w:t>
      </w:r>
      <w:r>
        <w:rPr>
          <w:lang w:val="en-NZ"/>
        </w:rPr>
        <w:t>should be consistent with this;</w:t>
      </w:r>
    </w:p>
    <w:p w:rsidR="005316E3" w:rsidRDefault="009617D6" w:rsidP="007E7996">
      <w:pPr>
        <w:pStyle w:val="Bullets"/>
        <w:tabs>
          <w:tab w:val="clear" w:pos="851"/>
          <w:tab w:val="num" w:pos="567"/>
        </w:tabs>
        <w:spacing w:after="140"/>
        <w:ind w:left="567" w:hanging="567"/>
        <w:jc w:val="both"/>
        <w:rPr>
          <w:lang w:val="en-NZ"/>
        </w:rPr>
      </w:pPr>
      <w:r>
        <w:rPr>
          <w:lang w:val="en-NZ"/>
        </w:rPr>
        <w:t>u</w:t>
      </w:r>
      <w:r w:rsidR="005316E3">
        <w:rPr>
          <w:lang w:val="en-NZ"/>
        </w:rPr>
        <w:t>sing the date of registration unfairly shortens the bright-line period</w:t>
      </w:r>
      <w:r>
        <w:rPr>
          <w:lang w:val="en-NZ"/>
        </w:rPr>
        <w:t>;</w:t>
      </w:r>
    </w:p>
    <w:p w:rsidR="00BD0C36" w:rsidRDefault="009617D6" w:rsidP="007E7996">
      <w:pPr>
        <w:pStyle w:val="Bullets"/>
        <w:tabs>
          <w:tab w:val="clear" w:pos="851"/>
          <w:tab w:val="num" w:pos="567"/>
        </w:tabs>
        <w:spacing w:after="140"/>
        <w:ind w:left="567" w:hanging="567"/>
        <w:jc w:val="both"/>
        <w:rPr>
          <w:lang w:val="en-NZ"/>
        </w:rPr>
      </w:pPr>
      <w:r>
        <w:rPr>
          <w:lang w:val="en-NZ"/>
        </w:rPr>
        <w:t>u</w:t>
      </w:r>
      <w:r w:rsidR="00C311ED">
        <w:rPr>
          <w:lang w:val="en-NZ"/>
        </w:rPr>
        <w:t xml:space="preserve">sing </w:t>
      </w:r>
      <w:r w:rsidR="00C5761E">
        <w:rPr>
          <w:lang w:val="en-NZ"/>
        </w:rPr>
        <w:t>the date a person enters into a contract to purchase land as the</w:t>
      </w:r>
      <w:r w:rsidR="00C311ED">
        <w:rPr>
          <w:lang w:val="en-NZ"/>
        </w:rPr>
        <w:t xml:space="preserve"> start date would </w:t>
      </w:r>
      <w:r w:rsidR="005316E3">
        <w:rPr>
          <w:lang w:val="en-NZ"/>
        </w:rPr>
        <w:t>minimise the number of sales purchased without an intention of resale</w:t>
      </w:r>
      <w:r>
        <w:rPr>
          <w:lang w:val="en-NZ"/>
        </w:rPr>
        <w:t>;</w:t>
      </w:r>
    </w:p>
    <w:p w:rsidR="00BD0C36" w:rsidRDefault="009617D6" w:rsidP="007E7996">
      <w:pPr>
        <w:pStyle w:val="Bullets"/>
        <w:tabs>
          <w:tab w:val="clear" w:pos="851"/>
          <w:tab w:val="num" w:pos="567"/>
        </w:tabs>
        <w:spacing w:after="140"/>
        <w:ind w:left="567" w:hanging="567"/>
        <w:jc w:val="both"/>
        <w:rPr>
          <w:lang w:val="en-NZ"/>
        </w:rPr>
      </w:pPr>
      <w:r>
        <w:rPr>
          <w:lang w:val="en-NZ"/>
        </w:rPr>
        <w:t>i</w:t>
      </w:r>
      <w:r w:rsidR="00C311ED">
        <w:rPr>
          <w:lang w:val="en-NZ"/>
        </w:rPr>
        <w:t>t would be fairer for the start date of the bright-line test to be consistent with the end date for the bright-line test</w:t>
      </w:r>
      <w:r>
        <w:rPr>
          <w:lang w:val="en-NZ"/>
        </w:rPr>
        <w:t>;</w:t>
      </w:r>
    </w:p>
    <w:p w:rsidR="005316E3" w:rsidRDefault="009617D6" w:rsidP="007E7996">
      <w:pPr>
        <w:pStyle w:val="Bullets"/>
        <w:tabs>
          <w:tab w:val="clear" w:pos="851"/>
          <w:tab w:val="num" w:pos="567"/>
        </w:tabs>
        <w:spacing w:after="140"/>
        <w:ind w:left="567" w:hanging="567"/>
        <w:jc w:val="both"/>
        <w:rPr>
          <w:lang w:val="en-NZ"/>
        </w:rPr>
      </w:pPr>
      <w:r>
        <w:rPr>
          <w:lang w:val="en-NZ"/>
        </w:rPr>
        <w:t>t</w:t>
      </w:r>
      <w:r w:rsidR="00BD0C36">
        <w:rPr>
          <w:lang w:val="en-NZ"/>
        </w:rPr>
        <w:t>here would be no difficulty for taxpayers in determining the start date as they are required to keep documentation of this and know it for the purposes of the other land sale rules</w:t>
      </w:r>
      <w:r>
        <w:rPr>
          <w:lang w:val="en-NZ"/>
        </w:rPr>
        <w:t>;</w:t>
      </w:r>
    </w:p>
    <w:p w:rsidR="00BD0C36" w:rsidRDefault="009617D6" w:rsidP="007E7996">
      <w:pPr>
        <w:pStyle w:val="Bullets"/>
        <w:tabs>
          <w:tab w:val="clear" w:pos="851"/>
          <w:tab w:val="num" w:pos="567"/>
        </w:tabs>
        <w:spacing w:after="140"/>
        <w:ind w:left="567" w:hanging="567"/>
        <w:jc w:val="both"/>
        <w:rPr>
          <w:lang w:val="en-NZ"/>
        </w:rPr>
      </w:pPr>
      <w:r>
        <w:rPr>
          <w:lang w:val="en-NZ"/>
        </w:rPr>
        <w:t>u</w:t>
      </w:r>
      <w:r w:rsidR="00C311ED">
        <w:rPr>
          <w:lang w:val="en-NZ"/>
        </w:rPr>
        <w:t>sing it as the start date would mean that there does not need to be a separate rule for sales “off the plan”</w:t>
      </w:r>
      <w:r>
        <w:rPr>
          <w:lang w:val="en-NZ"/>
        </w:rPr>
        <w:t>;</w:t>
      </w:r>
    </w:p>
    <w:p w:rsidR="00BD0C36" w:rsidRDefault="009617D6" w:rsidP="007E7996">
      <w:pPr>
        <w:pStyle w:val="Bullets"/>
        <w:tabs>
          <w:tab w:val="clear" w:pos="851"/>
          <w:tab w:val="num" w:pos="567"/>
        </w:tabs>
        <w:spacing w:after="140"/>
        <w:ind w:left="567" w:hanging="567"/>
        <w:jc w:val="both"/>
        <w:rPr>
          <w:lang w:val="en-NZ"/>
        </w:rPr>
      </w:pPr>
      <w:r>
        <w:rPr>
          <w:lang w:val="en-NZ"/>
        </w:rPr>
        <w:t>i</w:t>
      </w:r>
      <w:r w:rsidR="00BD0C36">
        <w:rPr>
          <w:lang w:val="en-NZ"/>
        </w:rPr>
        <w:t>t better reflects that people are committed to buying the property from the date they enter into an agreement for sale and purchase</w:t>
      </w:r>
      <w:r>
        <w:rPr>
          <w:lang w:val="en-NZ"/>
        </w:rPr>
        <w:t>; and</w:t>
      </w:r>
    </w:p>
    <w:p w:rsidR="00892A9B" w:rsidRPr="00C71390" w:rsidRDefault="009617D6" w:rsidP="007E7996">
      <w:pPr>
        <w:pStyle w:val="Bullets"/>
        <w:tabs>
          <w:tab w:val="clear" w:pos="851"/>
          <w:tab w:val="num" w:pos="567"/>
        </w:tabs>
        <w:ind w:left="567" w:hanging="567"/>
        <w:jc w:val="both"/>
        <w:rPr>
          <w:lang w:val="en-NZ"/>
        </w:rPr>
      </w:pPr>
      <w:proofErr w:type="gramStart"/>
      <w:r>
        <w:rPr>
          <w:lang w:val="en-NZ"/>
        </w:rPr>
        <w:t>u</w:t>
      </w:r>
      <w:r w:rsidR="00892A9B">
        <w:rPr>
          <w:lang w:val="en-NZ"/>
        </w:rPr>
        <w:t>sing</w:t>
      </w:r>
      <w:proofErr w:type="gramEnd"/>
      <w:r w:rsidR="009E6344">
        <w:rPr>
          <w:lang w:val="en-NZ"/>
        </w:rPr>
        <w:t xml:space="preserve"> the</w:t>
      </w:r>
      <w:r w:rsidR="00892A9B">
        <w:rPr>
          <w:lang w:val="en-NZ"/>
        </w:rPr>
        <w:t xml:space="preserve"> registration date is a policy reversal from the</w:t>
      </w:r>
      <w:r w:rsidR="009E6344">
        <w:rPr>
          <w:lang w:val="en-NZ"/>
        </w:rPr>
        <w:t xml:space="preserve"> section</w:t>
      </w:r>
      <w:r w:rsidR="00892A9B">
        <w:rPr>
          <w:lang w:val="en-NZ"/>
        </w:rPr>
        <w:t xml:space="preserve"> CB 15B approach enacted in 2014</w:t>
      </w:r>
      <w:r>
        <w:rPr>
          <w:lang w:val="en-NZ"/>
        </w:rPr>
        <w:t>.</w:t>
      </w:r>
    </w:p>
    <w:p w:rsidR="00C767F5" w:rsidRPr="00DB4CC5" w:rsidRDefault="00C767F5" w:rsidP="00C767F5">
      <w:pPr>
        <w:rPr>
          <w:lang w:val="en-NZ"/>
        </w:rPr>
      </w:pPr>
    </w:p>
    <w:p w:rsidR="00C767F5" w:rsidRPr="00DB4CC5" w:rsidRDefault="00C767F5" w:rsidP="00C767F5">
      <w:pPr>
        <w:pStyle w:val="Heading2"/>
        <w:rPr>
          <w:lang w:val="en-NZ"/>
        </w:rPr>
      </w:pPr>
      <w:r w:rsidRPr="00DB4CC5">
        <w:rPr>
          <w:lang w:val="en-NZ"/>
        </w:rPr>
        <w:t>Comment</w:t>
      </w:r>
    </w:p>
    <w:p w:rsidR="00C767F5" w:rsidRPr="00DB4CC5" w:rsidRDefault="00C767F5" w:rsidP="00C767F5">
      <w:pPr>
        <w:rPr>
          <w:lang w:val="en-NZ"/>
        </w:rPr>
      </w:pPr>
    </w:p>
    <w:p w:rsidR="00C767F5" w:rsidRDefault="00E253CA" w:rsidP="00C767F5">
      <w:pPr>
        <w:rPr>
          <w:lang w:val="en-NZ"/>
        </w:rPr>
      </w:pPr>
      <w:r>
        <w:rPr>
          <w:lang w:val="en-NZ"/>
        </w:rPr>
        <w:t>The bright-line test is intended to be an objective, easy</w:t>
      </w:r>
      <w:r w:rsidR="00500DE7">
        <w:rPr>
          <w:lang w:val="en-NZ"/>
        </w:rPr>
        <w:t xml:space="preserve"> </w:t>
      </w:r>
      <w:r>
        <w:rPr>
          <w:lang w:val="en-NZ"/>
        </w:rPr>
        <w:t>to</w:t>
      </w:r>
      <w:r w:rsidR="00500DE7">
        <w:rPr>
          <w:lang w:val="en-NZ"/>
        </w:rPr>
        <w:t xml:space="preserve"> </w:t>
      </w:r>
      <w:r>
        <w:rPr>
          <w:lang w:val="en-NZ"/>
        </w:rPr>
        <w:t>enforce rule</w:t>
      </w:r>
      <w:r w:rsidR="00F16E3E">
        <w:rPr>
          <w:lang w:val="en-NZ"/>
        </w:rPr>
        <w:t>.  T</w:t>
      </w:r>
      <w:r>
        <w:rPr>
          <w:lang w:val="en-NZ"/>
        </w:rPr>
        <w:t>o achieve this, the start date for the bright-line test needs to be a recorded, verifiable date</w:t>
      </w:r>
      <w:r w:rsidR="00F16E3E">
        <w:rPr>
          <w:lang w:val="en-NZ"/>
        </w:rPr>
        <w:t>.  A</w:t>
      </w:r>
      <w:r>
        <w:rPr>
          <w:lang w:val="en-NZ"/>
        </w:rPr>
        <w:t xml:space="preserve"> recorded, verifiable date </w:t>
      </w:r>
      <w:r w:rsidR="00A61D5B">
        <w:rPr>
          <w:lang w:val="en-NZ"/>
        </w:rPr>
        <w:t>would also make the proposed withholding tax easier to apply.</w:t>
      </w:r>
    </w:p>
    <w:p w:rsidR="00E253CA" w:rsidRDefault="00E253CA" w:rsidP="00C767F5">
      <w:pPr>
        <w:rPr>
          <w:lang w:val="en-NZ"/>
        </w:rPr>
      </w:pPr>
    </w:p>
    <w:p w:rsidR="00E253CA" w:rsidRPr="00DB4CC5" w:rsidRDefault="00E253CA" w:rsidP="00C767F5">
      <w:pPr>
        <w:rPr>
          <w:lang w:val="en-NZ"/>
        </w:rPr>
      </w:pPr>
      <w:r>
        <w:rPr>
          <w:lang w:val="en-NZ"/>
        </w:rPr>
        <w:t>The only date recorded on Landonline is the registration date</w:t>
      </w:r>
      <w:r w:rsidR="00F16E3E">
        <w:rPr>
          <w:lang w:val="en-NZ"/>
        </w:rPr>
        <w:t>.  A</w:t>
      </w:r>
      <w:r>
        <w:rPr>
          <w:lang w:val="en-NZ"/>
        </w:rPr>
        <w:t>s a result the registration date needs to be the start date for the bright-line test</w:t>
      </w:r>
      <w:r w:rsidR="00F16E3E">
        <w:rPr>
          <w:lang w:val="en-NZ"/>
        </w:rPr>
        <w:t>.  W</w:t>
      </w:r>
      <w:r>
        <w:rPr>
          <w:lang w:val="en-NZ"/>
        </w:rPr>
        <w:t>e consider that for the majority of people</w:t>
      </w:r>
      <w:r w:rsidR="00500DE7">
        <w:rPr>
          <w:lang w:val="en-NZ"/>
        </w:rPr>
        <w:t>,</w:t>
      </w:r>
      <w:r>
        <w:rPr>
          <w:lang w:val="en-NZ"/>
        </w:rPr>
        <w:t xml:space="preserve"> having a separate date for the bright-line test </w:t>
      </w:r>
      <w:r w:rsidR="00500DE7">
        <w:rPr>
          <w:lang w:val="en-NZ"/>
        </w:rPr>
        <w:t xml:space="preserve">from </w:t>
      </w:r>
      <w:r>
        <w:rPr>
          <w:lang w:val="en-NZ"/>
        </w:rPr>
        <w:t>the other land sale rules will not cause significant difficulty.</w:t>
      </w:r>
    </w:p>
    <w:p w:rsidR="00C767F5" w:rsidRPr="00DB4CC5" w:rsidRDefault="00C767F5" w:rsidP="00C767F5">
      <w:pPr>
        <w:pStyle w:val="Heading2"/>
        <w:rPr>
          <w:lang w:val="en-NZ"/>
        </w:rPr>
      </w:pPr>
      <w:r w:rsidRPr="00DB4CC5">
        <w:rPr>
          <w:lang w:val="en-NZ"/>
        </w:rPr>
        <w:t>Recommendation</w:t>
      </w:r>
    </w:p>
    <w:p w:rsidR="00C767F5" w:rsidRPr="00DB4CC5" w:rsidRDefault="00C767F5" w:rsidP="00C767F5">
      <w:pPr>
        <w:rPr>
          <w:lang w:val="en-NZ"/>
        </w:rPr>
      </w:pPr>
    </w:p>
    <w:p w:rsidR="00C767F5" w:rsidRPr="00DB4CC5" w:rsidRDefault="00C767F5" w:rsidP="00C767F5">
      <w:pPr>
        <w:rPr>
          <w:lang w:val="en-NZ"/>
        </w:rPr>
      </w:pPr>
      <w:r w:rsidRPr="00DB4CC5">
        <w:rPr>
          <w:lang w:val="en-NZ"/>
        </w:rPr>
        <w:t xml:space="preserve">That the submission be </w:t>
      </w:r>
      <w:r w:rsidR="00C311ED">
        <w:rPr>
          <w:lang w:val="en-NZ"/>
        </w:rPr>
        <w:t>declined.</w:t>
      </w:r>
    </w:p>
    <w:p w:rsidR="00E253CA" w:rsidRPr="00DB4CC5" w:rsidRDefault="00E253CA" w:rsidP="00E253CA">
      <w:pPr>
        <w:pBdr>
          <w:bottom w:val="single" w:sz="4" w:space="1" w:color="auto"/>
        </w:pBdr>
        <w:rPr>
          <w:lang w:val="en-NZ"/>
        </w:rPr>
      </w:pPr>
    </w:p>
    <w:p w:rsidR="00A83152" w:rsidRDefault="00A83152" w:rsidP="00A842F0"/>
    <w:p w:rsidR="007E7996" w:rsidRPr="00A842F0" w:rsidRDefault="007E7996" w:rsidP="00A842F0"/>
    <w:p w:rsidR="00A83152" w:rsidRPr="00DB4CC5" w:rsidRDefault="00A83152" w:rsidP="00A83152">
      <w:pPr>
        <w:pStyle w:val="Heading5"/>
        <w:ind w:left="794" w:hanging="794"/>
        <w:rPr>
          <w:lang w:val="en-NZ"/>
        </w:rPr>
      </w:pPr>
      <w:bookmarkStart w:id="27" w:name="_Toc432411915"/>
      <w:r w:rsidRPr="00DB4CC5">
        <w:rPr>
          <w:lang w:val="en-NZ"/>
        </w:rPr>
        <w:t>Issue:</w:t>
      </w:r>
      <w:r w:rsidRPr="00DB4CC5">
        <w:rPr>
          <w:lang w:val="en-NZ"/>
        </w:rPr>
        <w:tab/>
      </w:r>
      <w:r>
        <w:rPr>
          <w:lang w:val="en-NZ"/>
        </w:rPr>
        <w:t xml:space="preserve">Sales </w:t>
      </w:r>
      <w:r w:rsidR="008A163C">
        <w:rPr>
          <w:lang w:val="en-NZ"/>
        </w:rPr>
        <w:t>“</w:t>
      </w:r>
      <w:r>
        <w:rPr>
          <w:lang w:val="en-NZ"/>
        </w:rPr>
        <w:t>off the plan</w:t>
      </w:r>
      <w:r w:rsidR="008A163C">
        <w:rPr>
          <w:lang w:val="en-NZ"/>
        </w:rPr>
        <w:t>”</w:t>
      </w:r>
      <w:bookmarkEnd w:id="27"/>
    </w:p>
    <w:p w:rsidR="00A83152" w:rsidRPr="00DB4CC5" w:rsidRDefault="00A83152" w:rsidP="00A83152">
      <w:pPr>
        <w:rPr>
          <w:lang w:val="en-NZ"/>
        </w:rPr>
      </w:pPr>
    </w:p>
    <w:p w:rsidR="00A83152" w:rsidRPr="00DB4CC5" w:rsidRDefault="00A83152" w:rsidP="00A83152">
      <w:pPr>
        <w:rPr>
          <w:lang w:val="en-NZ"/>
        </w:rPr>
      </w:pPr>
    </w:p>
    <w:p w:rsidR="00A83152" w:rsidRPr="00DB4CC5" w:rsidRDefault="00A83152" w:rsidP="00A83152">
      <w:pPr>
        <w:pStyle w:val="Heading2"/>
        <w:rPr>
          <w:lang w:val="en-NZ"/>
        </w:rPr>
      </w:pPr>
      <w:r w:rsidRPr="00DB4CC5">
        <w:rPr>
          <w:lang w:val="en-NZ"/>
        </w:rPr>
        <w:t>Submission</w:t>
      </w:r>
    </w:p>
    <w:p w:rsidR="00A83152" w:rsidRPr="00DB4CC5" w:rsidRDefault="00C5761E" w:rsidP="00A83152">
      <w:pPr>
        <w:pStyle w:val="Heading4"/>
        <w:rPr>
          <w:lang w:val="en-NZ"/>
        </w:rPr>
      </w:pPr>
      <w:r>
        <w:rPr>
          <w:lang w:val="en-NZ"/>
        </w:rPr>
        <w:t>(</w:t>
      </w:r>
      <w:r w:rsidR="00BC4647">
        <w:rPr>
          <w:lang w:val="en-NZ"/>
        </w:rPr>
        <w:t>P</w:t>
      </w:r>
      <w:r>
        <w:rPr>
          <w:lang w:val="en-NZ"/>
        </w:rPr>
        <w:t>w</w:t>
      </w:r>
      <w:r w:rsidR="00BC4647">
        <w:rPr>
          <w:lang w:val="en-NZ"/>
        </w:rPr>
        <w:t>C</w:t>
      </w:r>
      <w:r w:rsidR="00407316">
        <w:rPr>
          <w:lang w:val="en-NZ"/>
        </w:rPr>
        <w:t>, Deloitte</w:t>
      </w:r>
      <w:r>
        <w:rPr>
          <w:lang w:val="en-NZ"/>
        </w:rPr>
        <w:t>)</w:t>
      </w:r>
    </w:p>
    <w:p w:rsidR="00A83152" w:rsidRPr="00DB4CC5" w:rsidRDefault="00A83152" w:rsidP="00A83152">
      <w:pPr>
        <w:tabs>
          <w:tab w:val="left" w:pos="5295"/>
        </w:tabs>
        <w:rPr>
          <w:lang w:val="en-NZ"/>
        </w:rPr>
      </w:pPr>
    </w:p>
    <w:p w:rsidR="00A83152" w:rsidRDefault="00A42C4D" w:rsidP="00A83152">
      <w:pPr>
        <w:rPr>
          <w:lang w:val="en-NZ"/>
        </w:rPr>
      </w:pPr>
      <w:r>
        <w:rPr>
          <w:lang w:val="en-NZ"/>
        </w:rPr>
        <w:t xml:space="preserve">The proposed separate rule for sales </w:t>
      </w:r>
      <w:r w:rsidR="008A163C">
        <w:rPr>
          <w:lang w:val="en-NZ"/>
        </w:rPr>
        <w:t>“</w:t>
      </w:r>
      <w:r>
        <w:rPr>
          <w:lang w:val="en-NZ"/>
        </w:rPr>
        <w:t>off the plan</w:t>
      </w:r>
      <w:r w:rsidR="008A163C">
        <w:rPr>
          <w:lang w:val="en-NZ"/>
        </w:rPr>
        <w:t>”</w:t>
      </w:r>
      <w:r>
        <w:rPr>
          <w:lang w:val="en-NZ"/>
        </w:rPr>
        <w:t xml:space="preserve"> can lead to outcomes that are unduly harsh and the application of the bright-line test is likely to be misunderstood by taxpayers.</w:t>
      </w:r>
    </w:p>
    <w:p w:rsidR="00A42C4D" w:rsidRDefault="00A42C4D" w:rsidP="00A83152">
      <w:pPr>
        <w:rPr>
          <w:lang w:val="en-NZ"/>
        </w:rPr>
      </w:pPr>
    </w:p>
    <w:p w:rsidR="00A42C4D" w:rsidRDefault="00A42C4D" w:rsidP="00A83152">
      <w:pPr>
        <w:rPr>
          <w:lang w:val="en-NZ"/>
        </w:rPr>
      </w:pPr>
      <w:r>
        <w:rPr>
          <w:lang w:val="en-NZ"/>
        </w:rPr>
        <w:t>Take the following situation:</w:t>
      </w:r>
    </w:p>
    <w:p w:rsidR="00A42C4D" w:rsidRDefault="00A42C4D" w:rsidP="00A83152">
      <w:pPr>
        <w:rPr>
          <w:lang w:val="en-NZ"/>
        </w:rPr>
      </w:pPr>
    </w:p>
    <w:p w:rsidR="00A42C4D" w:rsidRDefault="00A42C4D" w:rsidP="00A842F0">
      <w:pPr>
        <w:spacing w:after="140"/>
        <w:rPr>
          <w:lang w:val="en-NZ"/>
        </w:rPr>
      </w:pPr>
      <w:r w:rsidRPr="00414986">
        <w:rPr>
          <w:i/>
          <w:lang w:val="en-NZ"/>
        </w:rPr>
        <w:t>1 July 2016:</w:t>
      </w:r>
      <w:r>
        <w:rPr>
          <w:lang w:val="en-NZ"/>
        </w:rPr>
        <w:t xml:space="preserve"> Person enters into a contract to purchase</w:t>
      </w:r>
    </w:p>
    <w:p w:rsidR="00A42C4D" w:rsidRDefault="00A42C4D" w:rsidP="00A842F0">
      <w:pPr>
        <w:spacing w:after="140"/>
        <w:rPr>
          <w:lang w:val="en-NZ"/>
        </w:rPr>
      </w:pPr>
      <w:r w:rsidRPr="00414986">
        <w:rPr>
          <w:i/>
          <w:lang w:val="en-NZ"/>
        </w:rPr>
        <w:t>1 September 2018:</w:t>
      </w:r>
      <w:r>
        <w:rPr>
          <w:lang w:val="en-NZ"/>
        </w:rPr>
        <w:t xml:space="preserve"> Person obtains regist</w:t>
      </w:r>
      <w:r w:rsidR="002A0DA8">
        <w:rPr>
          <w:lang w:val="en-NZ"/>
        </w:rPr>
        <w:t>e</w:t>
      </w:r>
      <w:r>
        <w:rPr>
          <w:lang w:val="en-NZ"/>
        </w:rPr>
        <w:t>red title</w:t>
      </w:r>
    </w:p>
    <w:p w:rsidR="00A42C4D" w:rsidRDefault="00A42C4D" w:rsidP="00A83152">
      <w:pPr>
        <w:rPr>
          <w:lang w:val="en-NZ"/>
        </w:rPr>
      </w:pPr>
      <w:r w:rsidRPr="00414986">
        <w:rPr>
          <w:i/>
          <w:lang w:val="en-NZ"/>
        </w:rPr>
        <w:t>1 March 2019:</w:t>
      </w:r>
      <w:r>
        <w:rPr>
          <w:lang w:val="en-NZ"/>
        </w:rPr>
        <w:t xml:space="preserve"> </w:t>
      </w:r>
      <w:r w:rsidR="002A0DA8">
        <w:rPr>
          <w:lang w:val="en-NZ"/>
        </w:rPr>
        <w:t>Person enters into contract to sell</w:t>
      </w:r>
    </w:p>
    <w:p w:rsidR="002A0DA8" w:rsidRDefault="002A0DA8" w:rsidP="00A83152">
      <w:pPr>
        <w:rPr>
          <w:lang w:val="en-NZ"/>
        </w:rPr>
      </w:pPr>
    </w:p>
    <w:p w:rsidR="002A0DA8" w:rsidRDefault="002A0DA8" w:rsidP="00A83152">
      <w:pPr>
        <w:rPr>
          <w:lang w:val="en-NZ"/>
        </w:rPr>
      </w:pPr>
      <w:r>
        <w:rPr>
          <w:lang w:val="en-NZ"/>
        </w:rPr>
        <w:t>In this situation the person will be captured by the proposed bright-line rule because they entered into a contract to sell (1 March 2019) within two years of obtaining registered title (1 September 2018).</w:t>
      </w:r>
    </w:p>
    <w:p w:rsidR="002A0DA8" w:rsidRDefault="002A0DA8" w:rsidP="00A83152">
      <w:pPr>
        <w:rPr>
          <w:lang w:val="en-NZ"/>
        </w:rPr>
      </w:pPr>
    </w:p>
    <w:p w:rsidR="00407316" w:rsidRPr="00DB4CC5" w:rsidRDefault="002A0DA8" w:rsidP="00A83152">
      <w:pPr>
        <w:rPr>
          <w:lang w:val="en-NZ"/>
        </w:rPr>
      </w:pPr>
      <w:r>
        <w:rPr>
          <w:lang w:val="en-NZ"/>
        </w:rPr>
        <w:t>In contrast, if the person had entered into a contract to sell on 1 August 2018, they would not be covered by the proposed bright-line rule because they entered into a contract to sell (1 August 2018) more than two years after entering into a contract to purchase (1 July 2016).</w:t>
      </w:r>
    </w:p>
    <w:p w:rsidR="00A83152" w:rsidRPr="00DB4CC5" w:rsidRDefault="00A83152" w:rsidP="00A83152">
      <w:pPr>
        <w:rPr>
          <w:lang w:val="en-NZ"/>
        </w:rPr>
      </w:pPr>
    </w:p>
    <w:p w:rsidR="00A83152" w:rsidRDefault="00A83152" w:rsidP="00A83152">
      <w:pPr>
        <w:pStyle w:val="Heading2"/>
        <w:rPr>
          <w:lang w:val="en-NZ"/>
        </w:rPr>
      </w:pPr>
      <w:r w:rsidRPr="00DB4CC5">
        <w:rPr>
          <w:lang w:val="en-NZ"/>
        </w:rPr>
        <w:t>Comment</w:t>
      </w:r>
    </w:p>
    <w:p w:rsidR="00A83152" w:rsidRDefault="00A83152" w:rsidP="00A83152">
      <w:pPr>
        <w:rPr>
          <w:lang w:val="en-NZ"/>
        </w:rPr>
      </w:pPr>
    </w:p>
    <w:p w:rsidR="007829E5" w:rsidRDefault="005605DE" w:rsidP="00A83152">
      <w:pPr>
        <w:rPr>
          <w:lang w:val="en-NZ"/>
        </w:rPr>
      </w:pPr>
      <w:r>
        <w:rPr>
          <w:lang w:val="en-NZ"/>
        </w:rPr>
        <w:t xml:space="preserve">We agree that the </w:t>
      </w:r>
      <w:r w:rsidR="007829E5">
        <w:rPr>
          <w:lang w:val="en-NZ"/>
        </w:rPr>
        <w:t xml:space="preserve">situation outlined by the submitter would </w:t>
      </w:r>
      <w:r w:rsidR="00F0046C">
        <w:rPr>
          <w:lang w:val="en-NZ"/>
        </w:rPr>
        <w:t>be anomalous.</w:t>
      </w:r>
    </w:p>
    <w:p w:rsidR="007829E5" w:rsidRDefault="007829E5" w:rsidP="00A83152">
      <w:pPr>
        <w:rPr>
          <w:lang w:val="en-NZ"/>
        </w:rPr>
      </w:pPr>
    </w:p>
    <w:p w:rsidR="00BE01B2" w:rsidRDefault="007829E5" w:rsidP="00A83152">
      <w:pPr>
        <w:rPr>
          <w:lang w:val="en-NZ"/>
        </w:rPr>
      </w:pPr>
      <w:r>
        <w:rPr>
          <w:lang w:val="en-NZ"/>
        </w:rPr>
        <w:t xml:space="preserve">To resolve this we propose amending the start date </w:t>
      </w:r>
      <w:r w:rsidR="00D132EC">
        <w:rPr>
          <w:lang w:val="en-NZ"/>
        </w:rPr>
        <w:t>in the circumstances when</w:t>
      </w:r>
      <w:r w:rsidR="00F54CF6">
        <w:rPr>
          <w:lang w:val="en-NZ"/>
        </w:rPr>
        <w:t xml:space="preserve"> a person has a sale “off the plan</w:t>
      </w:r>
      <w:r w:rsidR="00520C6D">
        <w:rPr>
          <w:lang w:val="en-NZ"/>
        </w:rPr>
        <w:t>” which they later obtain</w:t>
      </w:r>
      <w:r w:rsidR="00F54CF6">
        <w:rPr>
          <w:lang w:val="en-NZ"/>
        </w:rPr>
        <w:t xml:space="preserve"> registered title to.</w:t>
      </w:r>
    </w:p>
    <w:p w:rsidR="00F54CF6" w:rsidRDefault="00F54CF6" w:rsidP="00A83152">
      <w:pPr>
        <w:rPr>
          <w:lang w:val="en-NZ"/>
        </w:rPr>
      </w:pPr>
    </w:p>
    <w:p w:rsidR="00F54CF6" w:rsidRDefault="00F54CF6" w:rsidP="00A83152">
      <w:pPr>
        <w:rPr>
          <w:lang w:val="en-NZ"/>
        </w:rPr>
      </w:pPr>
      <w:r>
        <w:rPr>
          <w:lang w:val="en-NZ"/>
        </w:rPr>
        <w:t>In this circumstance we propose that the person would be able to start the two</w:t>
      </w:r>
      <w:r w:rsidR="00D132EC">
        <w:rPr>
          <w:lang w:val="en-NZ"/>
        </w:rPr>
        <w:t>-</w:t>
      </w:r>
      <w:r>
        <w:rPr>
          <w:lang w:val="en-NZ"/>
        </w:rPr>
        <w:t>year period at the date they entered into a con</w:t>
      </w:r>
      <w:r w:rsidR="00F46824">
        <w:rPr>
          <w:lang w:val="en-NZ"/>
        </w:rPr>
        <w:t>tract to purchase the property</w:t>
      </w:r>
      <w:r>
        <w:rPr>
          <w:lang w:val="en-NZ"/>
        </w:rPr>
        <w:t>.</w:t>
      </w:r>
    </w:p>
    <w:p w:rsidR="00F54CF6" w:rsidRDefault="00F54CF6" w:rsidP="00A83152">
      <w:pPr>
        <w:rPr>
          <w:lang w:val="en-NZ"/>
        </w:rPr>
      </w:pPr>
    </w:p>
    <w:p w:rsidR="007829E5" w:rsidRDefault="00F54CF6" w:rsidP="00A83152">
      <w:pPr>
        <w:rPr>
          <w:lang w:val="en-NZ"/>
        </w:rPr>
      </w:pPr>
      <w:r>
        <w:rPr>
          <w:lang w:val="en-NZ"/>
        </w:rPr>
        <w:t>In the sce</w:t>
      </w:r>
      <w:r w:rsidR="0076298F">
        <w:rPr>
          <w:lang w:val="en-NZ"/>
        </w:rPr>
        <w:t>nario outlined by the submitter, t</w:t>
      </w:r>
      <w:r w:rsidR="00F46824">
        <w:rPr>
          <w:lang w:val="en-NZ"/>
        </w:rPr>
        <w:t>he proposed amendment</w:t>
      </w:r>
      <w:r w:rsidR="00520C6D">
        <w:rPr>
          <w:lang w:val="en-NZ"/>
        </w:rPr>
        <w:t xml:space="preserve"> would</w:t>
      </w:r>
      <w:r>
        <w:rPr>
          <w:lang w:val="en-NZ"/>
        </w:rPr>
        <w:t xml:space="preserve"> mean the bright-line period would start from 1 July 2016</w:t>
      </w:r>
      <w:r w:rsidR="00F16E3E">
        <w:rPr>
          <w:lang w:val="en-NZ"/>
        </w:rPr>
        <w:t>.  T</w:t>
      </w:r>
      <w:r w:rsidR="00520C6D">
        <w:rPr>
          <w:lang w:val="en-NZ"/>
        </w:rPr>
        <w:t>he sale on 1 March 2019 would not be covered by the bright-line test.</w:t>
      </w:r>
    </w:p>
    <w:p w:rsidR="00A83152" w:rsidRPr="00DB4CC5" w:rsidRDefault="00A83152" w:rsidP="00A83152">
      <w:pPr>
        <w:rPr>
          <w:lang w:val="en-NZ"/>
        </w:rPr>
      </w:pPr>
    </w:p>
    <w:p w:rsidR="00A83152" w:rsidRPr="00DB4CC5" w:rsidRDefault="00A83152" w:rsidP="00A83152">
      <w:pPr>
        <w:pStyle w:val="Heading2"/>
        <w:rPr>
          <w:lang w:val="en-NZ"/>
        </w:rPr>
      </w:pPr>
      <w:r w:rsidRPr="00DB4CC5">
        <w:rPr>
          <w:lang w:val="en-NZ"/>
        </w:rPr>
        <w:t>Recommendation</w:t>
      </w:r>
    </w:p>
    <w:p w:rsidR="00A83152" w:rsidRPr="00DB4CC5" w:rsidRDefault="00A83152" w:rsidP="00A83152">
      <w:pPr>
        <w:rPr>
          <w:lang w:val="en-NZ"/>
        </w:rPr>
      </w:pPr>
    </w:p>
    <w:p w:rsidR="00A83152" w:rsidRPr="00DB4CC5" w:rsidRDefault="00A83152" w:rsidP="00A83152">
      <w:pPr>
        <w:rPr>
          <w:lang w:val="en-NZ"/>
        </w:rPr>
      </w:pPr>
      <w:r w:rsidRPr="00DB4CC5">
        <w:rPr>
          <w:lang w:val="en-NZ"/>
        </w:rPr>
        <w:t xml:space="preserve">That the submission be </w:t>
      </w:r>
      <w:r w:rsidR="00407316">
        <w:rPr>
          <w:lang w:val="en-NZ"/>
        </w:rPr>
        <w:t>accepted</w:t>
      </w:r>
      <w:r w:rsidR="008C3904">
        <w:rPr>
          <w:lang w:val="en-NZ"/>
        </w:rPr>
        <w:t>.</w:t>
      </w:r>
    </w:p>
    <w:p w:rsidR="00A270BB" w:rsidRPr="00DB4CC5" w:rsidRDefault="00A270BB" w:rsidP="00A270BB">
      <w:pPr>
        <w:pBdr>
          <w:bottom w:val="single" w:sz="4" w:space="1" w:color="auto"/>
        </w:pBdr>
        <w:rPr>
          <w:lang w:val="en-NZ"/>
        </w:rPr>
      </w:pPr>
    </w:p>
    <w:p w:rsidR="00D132EC" w:rsidRDefault="00D132EC" w:rsidP="00A842F0"/>
    <w:p w:rsidR="00414986" w:rsidRPr="00DB4CC5" w:rsidRDefault="00414986" w:rsidP="00414986">
      <w:pPr>
        <w:pStyle w:val="Heading5"/>
        <w:ind w:left="794" w:hanging="794"/>
        <w:rPr>
          <w:lang w:val="en-NZ"/>
        </w:rPr>
      </w:pPr>
      <w:bookmarkStart w:id="28" w:name="_Toc432411916"/>
      <w:r w:rsidRPr="00DB4CC5">
        <w:rPr>
          <w:lang w:val="en-NZ"/>
        </w:rPr>
        <w:t>Issue:</w:t>
      </w:r>
      <w:r w:rsidRPr="00DB4CC5">
        <w:rPr>
          <w:lang w:val="en-NZ"/>
        </w:rPr>
        <w:tab/>
      </w:r>
      <w:r>
        <w:rPr>
          <w:lang w:val="en-NZ"/>
        </w:rPr>
        <w:t>Reducing two</w:t>
      </w:r>
      <w:r w:rsidR="001D49FE">
        <w:rPr>
          <w:lang w:val="en-NZ"/>
        </w:rPr>
        <w:t>-</w:t>
      </w:r>
      <w:r>
        <w:rPr>
          <w:lang w:val="en-NZ"/>
        </w:rPr>
        <w:t>year period</w:t>
      </w:r>
      <w:bookmarkEnd w:id="28"/>
    </w:p>
    <w:p w:rsidR="00414986" w:rsidRPr="00DB4CC5" w:rsidRDefault="00414986" w:rsidP="00414986">
      <w:pPr>
        <w:rPr>
          <w:lang w:val="en-NZ"/>
        </w:rPr>
      </w:pPr>
    </w:p>
    <w:p w:rsidR="00414986" w:rsidRPr="00DB4CC5" w:rsidRDefault="00414986" w:rsidP="00414986">
      <w:pPr>
        <w:rPr>
          <w:lang w:val="en-NZ"/>
        </w:rPr>
      </w:pPr>
    </w:p>
    <w:p w:rsidR="00414986" w:rsidRPr="00DB4CC5" w:rsidRDefault="00414986" w:rsidP="00414986">
      <w:pPr>
        <w:pStyle w:val="Heading2"/>
        <w:rPr>
          <w:lang w:val="en-NZ"/>
        </w:rPr>
      </w:pPr>
      <w:r w:rsidRPr="00DB4CC5">
        <w:rPr>
          <w:lang w:val="en-NZ"/>
        </w:rPr>
        <w:t>Submission</w:t>
      </w:r>
    </w:p>
    <w:p w:rsidR="00414986" w:rsidRPr="00DB4CC5" w:rsidRDefault="00414986" w:rsidP="00414986">
      <w:pPr>
        <w:pStyle w:val="Heading4"/>
        <w:rPr>
          <w:lang w:val="en-NZ"/>
        </w:rPr>
      </w:pPr>
      <w:r>
        <w:rPr>
          <w:lang w:val="en-NZ"/>
        </w:rPr>
        <w:t xml:space="preserve">(New Zealand Property Investors’ Federation </w:t>
      </w:r>
      <w:proofErr w:type="spellStart"/>
      <w:r>
        <w:rPr>
          <w:lang w:val="en-NZ"/>
        </w:rPr>
        <w:t>Inc</w:t>
      </w:r>
      <w:proofErr w:type="spellEnd"/>
      <w:r>
        <w:rPr>
          <w:lang w:val="en-NZ"/>
        </w:rPr>
        <w:t>)</w:t>
      </w:r>
    </w:p>
    <w:p w:rsidR="00414986" w:rsidRPr="00DB4CC5" w:rsidRDefault="00414986" w:rsidP="00414986">
      <w:pPr>
        <w:tabs>
          <w:tab w:val="left" w:pos="5295"/>
        </w:tabs>
        <w:rPr>
          <w:lang w:val="en-NZ"/>
        </w:rPr>
      </w:pPr>
    </w:p>
    <w:p w:rsidR="00414986" w:rsidRDefault="00414986" w:rsidP="00414986">
      <w:pPr>
        <w:rPr>
          <w:lang w:val="en-NZ"/>
        </w:rPr>
      </w:pPr>
      <w:r>
        <w:rPr>
          <w:lang w:val="en-NZ"/>
        </w:rPr>
        <w:t>The bright-line test is intended to make gains from speculators taxable</w:t>
      </w:r>
      <w:r w:rsidR="00F16E3E">
        <w:rPr>
          <w:lang w:val="en-NZ"/>
        </w:rPr>
        <w:t>.  I</w:t>
      </w:r>
      <w:r>
        <w:rPr>
          <w:lang w:val="en-NZ"/>
        </w:rPr>
        <w:t>t is not intended to capture gains from property investors that purchase property to use as rental property.</w:t>
      </w:r>
    </w:p>
    <w:p w:rsidR="00414986" w:rsidRDefault="00414986" w:rsidP="00414986">
      <w:pPr>
        <w:rPr>
          <w:lang w:val="en-NZ"/>
        </w:rPr>
      </w:pPr>
    </w:p>
    <w:p w:rsidR="00414986" w:rsidRPr="00DB4CC5" w:rsidRDefault="00414986" w:rsidP="00414986">
      <w:pPr>
        <w:rPr>
          <w:lang w:val="en-NZ"/>
        </w:rPr>
      </w:pPr>
      <w:r>
        <w:rPr>
          <w:lang w:val="en-NZ"/>
        </w:rPr>
        <w:t xml:space="preserve">The </w:t>
      </w:r>
      <w:r w:rsidR="00D132EC">
        <w:rPr>
          <w:lang w:val="en-NZ"/>
        </w:rPr>
        <w:t>b</w:t>
      </w:r>
      <w:r>
        <w:rPr>
          <w:lang w:val="en-NZ"/>
        </w:rPr>
        <w:t>ill should send a message to the general public that rental property is not intended to be captured by the test by reducing it to one year or eighteen months</w:t>
      </w:r>
      <w:r w:rsidR="00F16E3E">
        <w:rPr>
          <w:lang w:val="en-NZ"/>
        </w:rPr>
        <w:t>.  T</w:t>
      </w:r>
      <w:r>
        <w:rPr>
          <w:lang w:val="en-NZ"/>
        </w:rPr>
        <w:t>his would prevent some rental property owners from unintentionally being caught by the new test, but would still capture the traders that the test is actually intended for.</w:t>
      </w:r>
    </w:p>
    <w:p w:rsidR="00FF09F9" w:rsidRPr="00DB4CC5" w:rsidRDefault="00FF09F9" w:rsidP="00414986">
      <w:pPr>
        <w:rPr>
          <w:lang w:val="en-NZ"/>
        </w:rPr>
      </w:pPr>
    </w:p>
    <w:p w:rsidR="00414986" w:rsidRPr="00DB4CC5" w:rsidRDefault="00414986" w:rsidP="00414986">
      <w:pPr>
        <w:pStyle w:val="Heading2"/>
        <w:rPr>
          <w:lang w:val="en-NZ"/>
        </w:rPr>
      </w:pPr>
      <w:r w:rsidRPr="00DB4CC5">
        <w:rPr>
          <w:lang w:val="en-NZ"/>
        </w:rPr>
        <w:t>Comment</w:t>
      </w:r>
    </w:p>
    <w:p w:rsidR="00414986" w:rsidRPr="00DB4CC5" w:rsidRDefault="00414986" w:rsidP="00414986">
      <w:pPr>
        <w:rPr>
          <w:lang w:val="en-NZ"/>
        </w:rPr>
      </w:pPr>
    </w:p>
    <w:p w:rsidR="00414986" w:rsidRDefault="00414986" w:rsidP="00414986">
      <w:pPr>
        <w:rPr>
          <w:lang w:val="en-NZ"/>
        </w:rPr>
      </w:pPr>
      <w:r>
        <w:rPr>
          <w:lang w:val="en-NZ"/>
        </w:rPr>
        <w:t>The period of the bright-line test is intended to balance the need provide an easier to enforce rule to target short-term speculation while minimising the number of sales made taxable that were acquired without an intention of resale.</w:t>
      </w:r>
    </w:p>
    <w:p w:rsidR="00414986" w:rsidRDefault="00414986" w:rsidP="00414986">
      <w:pPr>
        <w:rPr>
          <w:lang w:val="en-NZ"/>
        </w:rPr>
      </w:pPr>
    </w:p>
    <w:p w:rsidR="003F515B" w:rsidRDefault="00414986" w:rsidP="00414986">
      <w:pPr>
        <w:rPr>
          <w:lang w:val="en-NZ"/>
        </w:rPr>
      </w:pPr>
      <w:r>
        <w:rPr>
          <w:lang w:val="en-NZ"/>
        </w:rPr>
        <w:t>We consider that the two</w:t>
      </w:r>
      <w:r w:rsidR="00D132EC">
        <w:rPr>
          <w:lang w:val="en-NZ"/>
        </w:rPr>
        <w:t>-</w:t>
      </w:r>
      <w:r>
        <w:rPr>
          <w:lang w:val="en-NZ"/>
        </w:rPr>
        <w:t>year period best meets these competing objectives</w:t>
      </w:r>
      <w:r w:rsidR="00F16E3E">
        <w:rPr>
          <w:lang w:val="en-NZ"/>
        </w:rPr>
        <w:t>.  I</w:t>
      </w:r>
      <w:r>
        <w:rPr>
          <w:lang w:val="en-NZ"/>
        </w:rPr>
        <w:t xml:space="preserve">t creates an easy to enforce </w:t>
      </w:r>
      <w:r w:rsidR="00520C6D">
        <w:rPr>
          <w:lang w:val="en-NZ"/>
        </w:rPr>
        <w:t xml:space="preserve">rule </w:t>
      </w:r>
      <w:r>
        <w:rPr>
          <w:lang w:val="en-NZ"/>
        </w:rPr>
        <w:t xml:space="preserve">to address the key difficult of enforcement where there is a high </w:t>
      </w:r>
      <w:r w:rsidR="00D132EC">
        <w:rPr>
          <w:lang w:val="en-NZ"/>
        </w:rPr>
        <w:t xml:space="preserve">turnover </w:t>
      </w:r>
      <w:r>
        <w:rPr>
          <w:lang w:val="en-NZ"/>
        </w:rPr>
        <w:t>of properties</w:t>
      </w:r>
      <w:r w:rsidR="00520C6D">
        <w:rPr>
          <w:lang w:val="en-NZ"/>
        </w:rPr>
        <w:t>.</w:t>
      </w:r>
    </w:p>
    <w:p w:rsidR="003F515B" w:rsidRDefault="003F515B" w:rsidP="003F515B">
      <w:pPr>
        <w:rPr>
          <w:lang w:val="en-NZ"/>
        </w:rPr>
      </w:pPr>
    </w:p>
    <w:p w:rsidR="00414986" w:rsidRPr="00DB4CC5" w:rsidRDefault="00414986" w:rsidP="00414986">
      <w:pPr>
        <w:pStyle w:val="Heading2"/>
        <w:rPr>
          <w:lang w:val="en-NZ"/>
        </w:rPr>
      </w:pPr>
      <w:r w:rsidRPr="00DB4CC5">
        <w:rPr>
          <w:lang w:val="en-NZ"/>
        </w:rPr>
        <w:t>Recommendation</w:t>
      </w:r>
    </w:p>
    <w:p w:rsidR="00414986" w:rsidRPr="00DB4CC5" w:rsidRDefault="00414986" w:rsidP="00414986">
      <w:pPr>
        <w:rPr>
          <w:lang w:val="en-NZ"/>
        </w:rPr>
      </w:pPr>
    </w:p>
    <w:p w:rsidR="00414986" w:rsidRPr="00DB4CC5" w:rsidRDefault="00414986" w:rsidP="00414986">
      <w:pPr>
        <w:rPr>
          <w:lang w:val="en-NZ"/>
        </w:rPr>
      </w:pPr>
      <w:r w:rsidRPr="00DB4CC5">
        <w:rPr>
          <w:lang w:val="en-NZ"/>
        </w:rPr>
        <w:t xml:space="preserve">That the submission be </w:t>
      </w:r>
      <w:r>
        <w:rPr>
          <w:lang w:val="en-NZ"/>
        </w:rPr>
        <w:t>declined.</w:t>
      </w:r>
    </w:p>
    <w:p w:rsidR="00414986" w:rsidRPr="00DB4CC5" w:rsidRDefault="00414986" w:rsidP="00414986">
      <w:pPr>
        <w:pBdr>
          <w:bottom w:val="single" w:sz="4" w:space="1" w:color="auto"/>
        </w:pBdr>
        <w:rPr>
          <w:lang w:val="en-NZ"/>
        </w:rPr>
      </w:pPr>
    </w:p>
    <w:p w:rsidR="00414986" w:rsidRDefault="00414986" w:rsidP="00BD0C36">
      <w:pPr>
        <w:rPr>
          <w:lang w:val="en-NZ"/>
        </w:rPr>
      </w:pPr>
    </w:p>
    <w:p w:rsidR="007E7996" w:rsidRDefault="007E7996" w:rsidP="00BD0C36">
      <w:pPr>
        <w:rPr>
          <w:lang w:val="en-NZ"/>
        </w:rPr>
      </w:pPr>
    </w:p>
    <w:p w:rsidR="00BD0C36" w:rsidRPr="00DB4CC5" w:rsidRDefault="00BD0C36" w:rsidP="00BD0C36">
      <w:pPr>
        <w:pStyle w:val="Heading5"/>
        <w:ind w:left="794" w:hanging="794"/>
        <w:rPr>
          <w:lang w:val="en-NZ"/>
        </w:rPr>
      </w:pPr>
      <w:bookmarkStart w:id="29" w:name="_Toc432411917"/>
      <w:r w:rsidRPr="00DB4CC5">
        <w:rPr>
          <w:lang w:val="en-NZ"/>
        </w:rPr>
        <w:t>Issue:</w:t>
      </w:r>
      <w:r w:rsidRPr="00DB4CC5">
        <w:rPr>
          <w:lang w:val="en-NZ"/>
        </w:rPr>
        <w:tab/>
      </w:r>
      <w:r>
        <w:rPr>
          <w:lang w:val="en-NZ"/>
        </w:rPr>
        <w:t>Start date for third</w:t>
      </w:r>
      <w:r w:rsidR="005839D1">
        <w:rPr>
          <w:lang w:val="en-NZ"/>
        </w:rPr>
        <w:t>-</w:t>
      </w:r>
      <w:r>
        <w:rPr>
          <w:lang w:val="en-NZ"/>
        </w:rPr>
        <w:t>party nominations</w:t>
      </w:r>
      <w:bookmarkEnd w:id="29"/>
    </w:p>
    <w:p w:rsidR="00BD0C36" w:rsidRPr="00DB4CC5" w:rsidRDefault="00BD0C36" w:rsidP="00BD0C36">
      <w:pPr>
        <w:rPr>
          <w:lang w:val="en-NZ"/>
        </w:rPr>
      </w:pPr>
    </w:p>
    <w:p w:rsidR="00BD0C36" w:rsidRPr="00DB4CC5" w:rsidRDefault="00BD0C36" w:rsidP="00BD0C36">
      <w:pPr>
        <w:rPr>
          <w:lang w:val="en-NZ"/>
        </w:rPr>
      </w:pPr>
    </w:p>
    <w:p w:rsidR="00BD0C36" w:rsidRPr="00DB4CC5" w:rsidRDefault="00BD0C36" w:rsidP="00BD0C36">
      <w:pPr>
        <w:pStyle w:val="Heading2"/>
        <w:rPr>
          <w:lang w:val="en-NZ"/>
        </w:rPr>
      </w:pPr>
      <w:r w:rsidRPr="00DB4CC5">
        <w:rPr>
          <w:lang w:val="en-NZ"/>
        </w:rPr>
        <w:t>Submission</w:t>
      </w:r>
    </w:p>
    <w:p w:rsidR="00BD0C36" w:rsidRPr="00DB4CC5" w:rsidRDefault="002E6C4C" w:rsidP="00BD0C36">
      <w:pPr>
        <w:pStyle w:val="Heading4"/>
        <w:rPr>
          <w:lang w:val="en-NZ"/>
        </w:rPr>
      </w:pPr>
      <w:r>
        <w:rPr>
          <w:lang w:val="en-NZ"/>
        </w:rPr>
        <w:t>(</w:t>
      </w:r>
      <w:proofErr w:type="spellStart"/>
      <w:proofErr w:type="gramStart"/>
      <w:r w:rsidR="00BD0C36">
        <w:rPr>
          <w:lang w:val="en-NZ"/>
        </w:rPr>
        <w:t>nsaTax</w:t>
      </w:r>
      <w:proofErr w:type="spellEnd"/>
      <w:proofErr w:type="gramEnd"/>
      <w:r>
        <w:rPr>
          <w:lang w:val="en-NZ"/>
        </w:rPr>
        <w:t>)</w:t>
      </w:r>
    </w:p>
    <w:p w:rsidR="00BD0C36" w:rsidRPr="00DB4CC5" w:rsidRDefault="00BD0C36" w:rsidP="00BD0C36">
      <w:pPr>
        <w:tabs>
          <w:tab w:val="left" w:pos="5295"/>
        </w:tabs>
        <w:rPr>
          <w:lang w:val="en-NZ"/>
        </w:rPr>
      </w:pPr>
    </w:p>
    <w:p w:rsidR="00BD0C36" w:rsidRDefault="00BD0C36" w:rsidP="00BD0C36">
      <w:pPr>
        <w:rPr>
          <w:lang w:val="en-NZ"/>
        </w:rPr>
      </w:pPr>
      <w:r>
        <w:rPr>
          <w:lang w:val="en-NZ"/>
        </w:rPr>
        <w:t>The bill does not adequately cover the circumstance where the purchaser of a property nominates another third</w:t>
      </w:r>
      <w:r w:rsidR="005839D1">
        <w:rPr>
          <w:lang w:val="en-NZ"/>
        </w:rPr>
        <w:t>-</w:t>
      </w:r>
      <w:r>
        <w:rPr>
          <w:lang w:val="en-NZ"/>
        </w:rPr>
        <w:t>party pers</w:t>
      </w:r>
      <w:r w:rsidR="009617D6">
        <w:rPr>
          <w:lang w:val="en-NZ"/>
        </w:rPr>
        <w:t xml:space="preserve">on to be the purchaser under a </w:t>
      </w:r>
      <w:r w:rsidR="001D49FE">
        <w:rPr>
          <w:lang w:val="en-NZ"/>
        </w:rPr>
        <w:t>D</w:t>
      </w:r>
      <w:r>
        <w:rPr>
          <w:lang w:val="en-NZ"/>
        </w:rPr>
        <w:t xml:space="preserve">eed of </w:t>
      </w:r>
      <w:r w:rsidR="001D49FE">
        <w:rPr>
          <w:lang w:val="en-NZ"/>
        </w:rPr>
        <w:t>N</w:t>
      </w:r>
      <w:r>
        <w:rPr>
          <w:lang w:val="en-NZ"/>
        </w:rPr>
        <w:t>omination.</w:t>
      </w:r>
    </w:p>
    <w:p w:rsidR="00BD0C36" w:rsidRDefault="00BD0C36" w:rsidP="00BD0C36">
      <w:pPr>
        <w:rPr>
          <w:lang w:val="en-NZ"/>
        </w:rPr>
      </w:pPr>
    </w:p>
    <w:p w:rsidR="00BD0C36" w:rsidRDefault="00BD0C36" w:rsidP="00BD0C36">
      <w:pPr>
        <w:rPr>
          <w:lang w:val="en-NZ"/>
        </w:rPr>
      </w:pPr>
      <w:r>
        <w:rPr>
          <w:lang w:val="en-NZ"/>
        </w:rPr>
        <w:t>The nominees in these situations may not be in any way privy to the transaction when the sale and purchase agreement is entered into</w:t>
      </w:r>
      <w:r w:rsidR="00F16E3E">
        <w:rPr>
          <w:lang w:val="en-NZ"/>
        </w:rPr>
        <w:t>.  F</w:t>
      </w:r>
      <w:r>
        <w:rPr>
          <w:lang w:val="en-NZ"/>
        </w:rPr>
        <w:t>urthermore, the nominee may not even have been in existence at the time the agreement is entered into</w:t>
      </w:r>
      <w:r w:rsidR="00F16E3E">
        <w:rPr>
          <w:lang w:val="en-NZ"/>
        </w:rPr>
        <w:t>.  T</w:t>
      </w:r>
      <w:r>
        <w:rPr>
          <w:lang w:val="en-NZ"/>
        </w:rPr>
        <w:t>he acquisition date should be consistent with other taxing provisions and existing law</w:t>
      </w:r>
      <w:r w:rsidR="005839D1">
        <w:rPr>
          <w:lang w:val="en-NZ"/>
        </w:rPr>
        <w:t xml:space="preserve"> that is</w:t>
      </w:r>
      <w:r>
        <w:rPr>
          <w:lang w:val="en-NZ"/>
        </w:rPr>
        <w:t xml:space="preserve"> the date the “first interest” in the property is acquired being the date of the </w:t>
      </w:r>
      <w:r w:rsidR="001D49FE">
        <w:rPr>
          <w:lang w:val="en-NZ"/>
        </w:rPr>
        <w:t>D</w:t>
      </w:r>
      <w:r>
        <w:rPr>
          <w:lang w:val="en-NZ"/>
        </w:rPr>
        <w:t xml:space="preserve">eed of </w:t>
      </w:r>
      <w:r w:rsidR="001D49FE">
        <w:rPr>
          <w:lang w:val="en-NZ"/>
        </w:rPr>
        <w:t>N</w:t>
      </w:r>
      <w:r>
        <w:rPr>
          <w:lang w:val="en-NZ"/>
        </w:rPr>
        <w:t>omination in the case of nominations if the “nominator” has already acquired their “first interest” in the property.</w:t>
      </w:r>
    </w:p>
    <w:p w:rsidR="00BD0C36" w:rsidRPr="00DB4CC5" w:rsidRDefault="00BD0C36" w:rsidP="00BD0C36">
      <w:pPr>
        <w:rPr>
          <w:lang w:val="en-NZ"/>
        </w:rPr>
      </w:pPr>
    </w:p>
    <w:p w:rsidR="0065103F" w:rsidRDefault="0065103F">
      <w:pPr>
        <w:jc w:val="left"/>
        <w:rPr>
          <w:b/>
          <w:lang w:val="en-NZ"/>
        </w:rPr>
      </w:pPr>
      <w:r>
        <w:rPr>
          <w:lang w:val="en-NZ"/>
        </w:rPr>
        <w:br w:type="page"/>
      </w:r>
    </w:p>
    <w:p w:rsidR="00BD0C36" w:rsidRDefault="00BD0C36" w:rsidP="00BD0C36">
      <w:pPr>
        <w:pStyle w:val="Heading2"/>
        <w:rPr>
          <w:lang w:val="en-NZ"/>
        </w:rPr>
      </w:pPr>
      <w:r w:rsidRPr="00DB4CC5">
        <w:rPr>
          <w:lang w:val="en-NZ"/>
        </w:rPr>
        <w:t>Comment</w:t>
      </w:r>
    </w:p>
    <w:p w:rsidR="00BD0C36" w:rsidRDefault="00BD0C36" w:rsidP="00BD0C36">
      <w:pPr>
        <w:rPr>
          <w:lang w:val="en-NZ"/>
        </w:rPr>
      </w:pPr>
    </w:p>
    <w:p w:rsidR="00BD0C36" w:rsidRDefault="00286D7B" w:rsidP="00BD0C36">
      <w:pPr>
        <w:rPr>
          <w:lang w:val="en-NZ"/>
        </w:rPr>
      </w:pPr>
      <w:r>
        <w:rPr>
          <w:lang w:val="en-NZ"/>
        </w:rPr>
        <w:t>In the</w:t>
      </w:r>
      <w:r w:rsidR="0049619E">
        <w:rPr>
          <w:lang w:val="en-NZ"/>
        </w:rPr>
        <w:t xml:space="preserve"> </w:t>
      </w:r>
      <w:r>
        <w:rPr>
          <w:lang w:val="en-NZ"/>
        </w:rPr>
        <w:t>situation of a third</w:t>
      </w:r>
      <w:r w:rsidR="00EA3A3B">
        <w:rPr>
          <w:lang w:val="en-NZ"/>
        </w:rPr>
        <w:t>-</w:t>
      </w:r>
      <w:r>
        <w:rPr>
          <w:lang w:val="en-NZ"/>
        </w:rPr>
        <w:t>party</w:t>
      </w:r>
      <w:r w:rsidR="00A5348C">
        <w:rPr>
          <w:lang w:val="en-NZ"/>
        </w:rPr>
        <w:t xml:space="preserve"> </w:t>
      </w:r>
      <w:r>
        <w:rPr>
          <w:lang w:val="en-NZ"/>
        </w:rPr>
        <w:t>nomination</w:t>
      </w:r>
      <w:r w:rsidR="0049619E">
        <w:rPr>
          <w:lang w:val="en-NZ"/>
        </w:rPr>
        <w:t xml:space="preserve"> </w:t>
      </w:r>
      <w:r w:rsidR="00AB4213">
        <w:rPr>
          <w:lang w:val="en-NZ"/>
        </w:rPr>
        <w:t xml:space="preserve">the result would be the same as under a </w:t>
      </w:r>
      <w:r w:rsidR="00AB37A6">
        <w:rPr>
          <w:lang w:val="en-NZ"/>
        </w:rPr>
        <w:t>sale of the right to buy land.</w:t>
      </w:r>
    </w:p>
    <w:p w:rsidR="00AB37A6" w:rsidRDefault="00AB37A6" w:rsidP="00BD0C36">
      <w:pPr>
        <w:rPr>
          <w:lang w:val="en-NZ"/>
        </w:rPr>
      </w:pPr>
    </w:p>
    <w:p w:rsidR="00AB37A6" w:rsidRDefault="00AB37A6" w:rsidP="00BD0C36">
      <w:pPr>
        <w:rPr>
          <w:lang w:val="en-NZ"/>
        </w:rPr>
      </w:pPr>
      <w:r>
        <w:rPr>
          <w:lang w:val="en-NZ"/>
        </w:rPr>
        <w:t>A purchaser of land acquires an interest in the land by entering into a contract to purchase the land (they acquire a right to buy the land)</w:t>
      </w:r>
      <w:r w:rsidR="00F16E3E">
        <w:rPr>
          <w:lang w:val="en-NZ"/>
        </w:rPr>
        <w:t>.  I</w:t>
      </w:r>
      <w:r>
        <w:rPr>
          <w:lang w:val="en-NZ"/>
        </w:rPr>
        <w:t xml:space="preserve">f they enter a </w:t>
      </w:r>
      <w:r w:rsidR="00A5348C">
        <w:rPr>
          <w:lang w:val="en-NZ"/>
        </w:rPr>
        <w:t>D</w:t>
      </w:r>
      <w:r>
        <w:rPr>
          <w:lang w:val="en-NZ"/>
        </w:rPr>
        <w:t xml:space="preserve">eed of </w:t>
      </w:r>
      <w:r w:rsidR="00A5348C">
        <w:rPr>
          <w:lang w:val="en-NZ"/>
        </w:rPr>
        <w:t>N</w:t>
      </w:r>
      <w:r>
        <w:rPr>
          <w:lang w:val="en-NZ"/>
        </w:rPr>
        <w:t>omination, they are transferring this interest (the right to buy the land) to another party.</w:t>
      </w:r>
    </w:p>
    <w:p w:rsidR="00AB37A6" w:rsidRDefault="00AB37A6" w:rsidP="00BD0C36">
      <w:pPr>
        <w:rPr>
          <w:lang w:val="en-NZ"/>
        </w:rPr>
      </w:pPr>
    </w:p>
    <w:p w:rsidR="00AB37A6" w:rsidRDefault="00AB37A6" w:rsidP="00BD0C36">
      <w:pPr>
        <w:rPr>
          <w:lang w:val="en-NZ"/>
        </w:rPr>
      </w:pPr>
      <w:r>
        <w:rPr>
          <w:lang w:val="en-NZ"/>
        </w:rPr>
        <w:t>Under the bill, the start date of the bright-line</w:t>
      </w:r>
      <w:r w:rsidR="003A5DDF">
        <w:rPr>
          <w:lang w:val="en-NZ"/>
        </w:rPr>
        <w:t xml:space="preserve"> for this person is the date the person entered</w:t>
      </w:r>
      <w:r>
        <w:rPr>
          <w:lang w:val="en-NZ"/>
        </w:rPr>
        <w:t xml:space="preserve"> into the contract to purchase the land</w:t>
      </w:r>
      <w:r w:rsidR="00F16E3E">
        <w:rPr>
          <w:lang w:val="en-NZ"/>
        </w:rPr>
        <w:t>.  T</w:t>
      </w:r>
      <w:r>
        <w:rPr>
          <w:lang w:val="en-NZ"/>
        </w:rPr>
        <w:t>his is</w:t>
      </w:r>
      <w:r w:rsidR="003A5DDF">
        <w:rPr>
          <w:lang w:val="en-NZ"/>
        </w:rPr>
        <w:t xml:space="preserve"> the</w:t>
      </w:r>
      <w:r w:rsidR="0070269D">
        <w:rPr>
          <w:lang w:val="en-NZ"/>
        </w:rPr>
        <w:t xml:space="preserve"> correct</w:t>
      </w:r>
      <w:r w:rsidR="003A5DDF">
        <w:rPr>
          <w:lang w:val="en-NZ"/>
        </w:rPr>
        <w:t xml:space="preserve"> result </w:t>
      </w:r>
      <w:r w:rsidR="00520C6D">
        <w:rPr>
          <w:lang w:val="en-NZ"/>
        </w:rPr>
        <w:t>because</w:t>
      </w:r>
      <w:r w:rsidR="003A5DDF">
        <w:rPr>
          <w:lang w:val="en-NZ"/>
        </w:rPr>
        <w:t xml:space="preserve"> the</w:t>
      </w:r>
      <w:r>
        <w:rPr>
          <w:lang w:val="en-NZ"/>
        </w:rPr>
        <w:t xml:space="preserve"> “date of acquisition”</w:t>
      </w:r>
      <w:r w:rsidR="003A5DDF">
        <w:rPr>
          <w:lang w:val="en-NZ"/>
        </w:rPr>
        <w:t xml:space="preserve"> in</w:t>
      </w:r>
      <w:r>
        <w:rPr>
          <w:lang w:val="en-NZ"/>
        </w:rPr>
        <w:t xml:space="preserve"> the bill is the latest date in which they acquired an interest in the residential land</w:t>
      </w:r>
      <w:r w:rsidR="00F16E3E">
        <w:rPr>
          <w:lang w:val="en-NZ"/>
        </w:rPr>
        <w:t>.  F</w:t>
      </w:r>
      <w:r w:rsidR="003A5DDF">
        <w:rPr>
          <w:lang w:val="en-NZ"/>
        </w:rPr>
        <w:t>or this person the latest date they acquired the interest is the date they entered into the contract to purchase.</w:t>
      </w:r>
    </w:p>
    <w:p w:rsidR="00AB37A6" w:rsidRDefault="00AB37A6" w:rsidP="00BD0C36">
      <w:pPr>
        <w:rPr>
          <w:lang w:val="en-NZ"/>
        </w:rPr>
      </w:pPr>
    </w:p>
    <w:p w:rsidR="00AB37A6" w:rsidRDefault="00AB37A6" w:rsidP="00BD0C36">
      <w:pPr>
        <w:rPr>
          <w:lang w:val="en-NZ"/>
        </w:rPr>
      </w:pPr>
      <w:r>
        <w:rPr>
          <w:lang w:val="en-NZ"/>
        </w:rPr>
        <w:t>The end date of the bright-line would be the date they entered into a deed of nomination</w:t>
      </w:r>
      <w:r w:rsidR="00F16E3E">
        <w:rPr>
          <w:lang w:val="en-NZ"/>
        </w:rPr>
        <w:t>.  T</w:t>
      </w:r>
      <w:r>
        <w:rPr>
          <w:lang w:val="en-NZ"/>
        </w:rPr>
        <w:t xml:space="preserve">his is </w:t>
      </w:r>
      <w:r w:rsidR="003A5DDF">
        <w:rPr>
          <w:lang w:val="en-NZ"/>
        </w:rPr>
        <w:t>the result as the</w:t>
      </w:r>
      <w:r>
        <w:rPr>
          <w:lang w:val="en-NZ"/>
        </w:rPr>
        <w:t xml:space="preserve"> “date of disposal” i</w:t>
      </w:r>
      <w:r w:rsidR="003A5DDF">
        <w:rPr>
          <w:lang w:val="en-NZ"/>
        </w:rPr>
        <w:t>s the date that the person enter</w:t>
      </w:r>
      <w:r w:rsidR="00EC66EB">
        <w:rPr>
          <w:lang w:val="en-NZ"/>
        </w:rPr>
        <w:t>ed</w:t>
      </w:r>
      <w:r w:rsidR="003A5DDF">
        <w:rPr>
          <w:lang w:val="en-NZ"/>
        </w:rPr>
        <w:t xml:space="preserve"> into an agreement for the disposal</w:t>
      </w:r>
      <w:r w:rsidR="00F16E3E">
        <w:rPr>
          <w:lang w:val="en-NZ"/>
        </w:rPr>
        <w:t>.  T</w:t>
      </w:r>
      <w:r w:rsidR="003A5DDF">
        <w:rPr>
          <w:lang w:val="en-NZ"/>
        </w:rPr>
        <w:t xml:space="preserve">he </w:t>
      </w:r>
      <w:r w:rsidR="00A5348C">
        <w:rPr>
          <w:lang w:val="en-NZ"/>
        </w:rPr>
        <w:t>D</w:t>
      </w:r>
      <w:r w:rsidR="003A5DDF">
        <w:rPr>
          <w:lang w:val="en-NZ"/>
        </w:rPr>
        <w:t xml:space="preserve">eed of </w:t>
      </w:r>
      <w:r w:rsidR="00A5348C">
        <w:rPr>
          <w:lang w:val="en-NZ"/>
        </w:rPr>
        <w:t>N</w:t>
      </w:r>
      <w:r w:rsidR="003A5DDF">
        <w:rPr>
          <w:lang w:val="en-NZ"/>
        </w:rPr>
        <w:t>omination is an agreement for the disposal of the land.</w:t>
      </w:r>
    </w:p>
    <w:p w:rsidR="00BD0C36" w:rsidRDefault="00BD0C36" w:rsidP="00BD0C36">
      <w:pPr>
        <w:rPr>
          <w:lang w:val="en-NZ"/>
        </w:rPr>
      </w:pPr>
    </w:p>
    <w:p w:rsidR="003F515B" w:rsidRDefault="003F515B" w:rsidP="00BD0C36">
      <w:pPr>
        <w:rPr>
          <w:lang w:val="en-NZ"/>
        </w:rPr>
      </w:pPr>
      <w:r>
        <w:rPr>
          <w:lang w:val="en-NZ"/>
        </w:rPr>
        <w:t>Therefore, we think the current bill adequately caters for nominations.</w:t>
      </w:r>
    </w:p>
    <w:p w:rsidR="005534F9" w:rsidRDefault="005534F9" w:rsidP="00BD0C36">
      <w:pPr>
        <w:rPr>
          <w:lang w:val="en-NZ"/>
        </w:rPr>
      </w:pPr>
    </w:p>
    <w:p w:rsidR="005534F9" w:rsidRDefault="005534F9" w:rsidP="00BD0C36">
      <w:pPr>
        <w:rPr>
          <w:lang w:val="en-NZ"/>
        </w:rPr>
      </w:pPr>
      <w:r>
        <w:rPr>
          <w:lang w:val="en-NZ"/>
        </w:rPr>
        <w:t xml:space="preserve">We intend to clarify this in the </w:t>
      </w:r>
      <w:r w:rsidRPr="009B557D">
        <w:rPr>
          <w:i/>
          <w:lang w:val="en-NZ"/>
        </w:rPr>
        <w:t>Tax Information Bulletin</w:t>
      </w:r>
      <w:r>
        <w:rPr>
          <w:lang w:val="en-NZ"/>
        </w:rPr>
        <w:t>.</w:t>
      </w:r>
    </w:p>
    <w:p w:rsidR="003F515B" w:rsidRPr="00DB4CC5" w:rsidRDefault="003F515B" w:rsidP="00BD0C36">
      <w:pPr>
        <w:rPr>
          <w:lang w:val="en-NZ"/>
        </w:rPr>
      </w:pPr>
    </w:p>
    <w:p w:rsidR="00BD0C36" w:rsidRPr="00DB4CC5" w:rsidRDefault="00BD0C36" w:rsidP="00BD0C36">
      <w:pPr>
        <w:pStyle w:val="Heading2"/>
        <w:rPr>
          <w:lang w:val="en-NZ"/>
        </w:rPr>
      </w:pPr>
      <w:r w:rsidRPr="00DB4CC5">
        <w:rPr>
          <w:lang w:val="en-NZ"/>
        </w:rPr>
        <w:t>Recommendation</w:t>
      </w:r>
    </w:p>
    <w:p w:rsidR="00BD0C36" w:rsidRPr="00DB4CC5" w:rsidRDefault="00BD0C36" w:rsidP="00BD0C36">
      <w:pPr>
        <w:rPr>
          <w:lang w:val="en-NZ"/>
        </w:rPr>
      </w:pPr>
    </w:p>
    <w:p w:rsidR="00BD0C36" w:rsidRPr="00DB4CC5" w:rsidRDefault="00BD0C36" w:rsidP="00BD0C36">
      <w:pPr>
        <w:rPr>
          <w:lang w:val="en-NZ"/>
        </w:rPr>
      </w:pPr>
      <w:r w:rsidRPr="00DB4CC5">
        <w:rPr>
          <w:lang w:val="en-NZ"/>
        </w:rPr>
        <w:t xml:space="preserve">That the submission be </w:t>
      </w:r>
      <w:r w:rsidR="00414986">
        <w:rPr>
          <w:lang w:val="en-NZ"/>
        </w:rPr>
        <w:t>declined.</w:t>
      </w:r>
    </w:p>
    <w:p w:rsidR="00BD0C36" w:rsidRPr="00DB4CC5" w:rsidRDefault="00BD0C36" w:rsidP="00BD0C36">
      <w:pPr>
        <w:pBdr>
          <w:bottom w:val="single" w:sz="4" w:space="1" w:color="auto"/>
        </w:pBdr>
        <w:rPr>
          <w:lang w:val="en-NZ"/>
        </w:rPr>
      </w:pPr>
    </w:p>
    <w:p w:rsidR="00BD0C36" w:rsidRDefault="00BD0C36" w:rsidP="00BD0C36">
      <w:pPr>
        <w:rPr>
          <w:lang w:val="en-NZ"/>
        </w:rPr>
      </w:pPr>
    </w:p>
    <w:p w:rsidR="007E7996" w:rsidRPr="00DB4CC5" w:rsidRDefault="007E7996" w:rsidP="00BD0C36">
      <w:pPr>
        <w:rPr>
          <w:lang w:val="en-NZ"/>
        </w:rPr>
      </w:pPr>
    </w:p>
    <w:p w:rsidR="00BD0C36" w:rsidRPr="00DB4CC5" w:rsidRDefault="00BD0C36" w:rsidP="00BD0C36">
      <w:pPr>
        <w:pStyle w:val="Heading5"/>
        <w:ind w:left="794" w:hanging="794"/>
        <w:rPr>
          <w:lang w:val="en-NZ"/>
        </w:rPr>
      </w:pPr>
      <w:bookmarkStart w:id="30" w:name="_Toc432411918"/>
      <w:r w:rsidRPr="00DB4CC5">
        <w:rPr>
          <w:lang w:val="en-NZ"/>
        </w:rPr>
        <w:t>Issue:</w:t>
      </w:r>
      <w:r w:rsidRPr="00DB4CC5">
        <w:rPr>
          <w:lang w:val="en-NZ"/>
        </w:rPr>
        <w:tab/>
      </w:r>
      <w:r>
        <w:rPr>
          <w:lang w:val="en-NZ"/>
        </w:rPr>
        <w:t>Start date for associated</w:t>
      </w:r>
      <w:r w:rsidR="001D49FE">
        <w:rPr>
          <w:lang w:val="en-NZ"/>
        </w:rPr>
        <w:t>-</w:t>
      </w:r>
      <w:r>
        <w:rPr>
          <w:lang w:val="en-NZ"/>
        </w:rPr>
        <w:t>party nominations</w:t>
      </w:r>
      <w:bookmarkEnd w:id="30"/>
    </w:p>
    <w:p w:rsidR="00BD0C36" w:rsidRPr="00DB4CC5" w:rsidRDefault="00BD0C36" w:rsidP="00BD0C36">
      <w:pPr>
        <w:rPr>
          <w:lang w:val="en-NZ"/>
        </w:rPr>
      </w:pPr>
    </w:p>
    <w:p w:rsidR="00BD0C36" w:rsidRPr="00DB4CC5" w:rsidRDefault="00BD0C36" w:rsidP="00BD0C36">
      <w:pPr>
        <w:rPr>
          <w:lang w:val="en-NZ"/>
        </w:rPr>
      </w:pPr>
    </w:p>
    <w:p w:rsidR="00BD0C36" w:rsidRPr="00DB4CC5" w:rsidRDefault="00BD0C36" w:rsidP="00BD0C36">
      <w:pPr>
        <w:pStyle w:val="Heading2"/>
        <w:rPr>
          <w:lang w:val="en-NZ"/>
        </w:rPr>
      </w:pPr>
      <w:r w:rsidRPr="00DB4CC5">
        <w:rPr>
          <w:lang w:val="en-NZ"/>
        </w:rPr>
        <w:t>Submission</w:t>
      </w:r>
    </w:p>
    <w:p w:rsidR="00BD0C36" w:rsidRPr="00DB4CC5" w:rsidRDefault="00A5348C" w:rsidP="00BD0C36">
      <w:pPr>
        <w:pStyle w:val="Heading4"/>
        <w:rPr>
          <w:lang w:val="en-NZ"/>
        </w:rPr>
      </w:pPr>
      <w:r>
        <w:rPr>
          <w:lang w:val="en-NZ"/>
        </w:rPr>
        <w:t>(</w:t>
      </w:r>
      <w:proofErr w:type="spellStart"/>
      <w:proofErr w:type="gramStart"/>
      <w:r w:rsidR="00BD0C36">
        <w:rPr>
          <w:lang w:val="en-NZ"/>
        </w:rPr>
        <w:t>nsaTax</w:t>
      </w:r>
      <w:proofErr w:type="spellEnd"/>
      <w:proofErr w:type="gramEnd"/>
      <w:r>
        <w:rPr>
          <w:lang w:val="en-NZ"/>
        </w:rPr>
        <w:t>)</w:t>
      </w:r>
    </w:p>
    <w:p w:rsidR="00BD0C36" w:rsidRPr="00DB4CC5" w:rsidRDefault="00BD0C36" w:rsidP="00BD0C36">
      <w:pPr>
        <w:tabs>
          <w:tab w:val="left" w:pos="5295"/>
        </w:tabs>
        <w:rPr>
          <w:lang w:val="en-NZ"/>
        </w:rPr>
      </w:pPr>
    </w:p>
    <w:p w:rsidR="00BD0C36" w:rsidRDefault="00BD0C36" w:rsidP="00BD0C36">
      <w:pPr>
        <w:rPr>
          <w:lang w:val="en-NZ"/>
        </w:rPr>
      </w:pPr>
      <w:r>
        <w:rPr>
          <w:lang w:val="en-NZ"/>
        </w:rPr>
        <w:t>The bill does not adequately cover the circumstance whe</w:t>
      </w:r>
      <w:r w:rsidR="00D53395">
        <w:rPr>
          <w:lang w:val="en-NZ"/>
        </w:rPr>
        <w:t>n</w:t>
      </w:r>
      <w:r>
        <w:rPr>
          <w:lang w:val="en-NZ"/>
        </w:rPr>
        <w:t xml:space="preserve"> the purchaser of a property nominates an associated person to be the purchaser under a Deed of Nomination.</w:t>
      </w:r>
    </w:p>
    <w:p w:rsidR="00BD0C36" w:rsidRDefault="00BD0C36" w:rsidP="00BD0C36">
      <w:pPr>
        <w:rPr>
          <w:lang w:val="en-NZ"/>
        </w:rPr>
      </w:pPr>
    </w:p>
    <w:p w:rsidR="00BD0C36" w:rsidRDefault="00BD0C36" w:rsidP="00BD0C36">
      <w:pPr>
        <w:rPr>
          <w:lang w:val="en-NZ"/>
        </w:rPr>
      </w:pPr>
      <w:r>
        <w:rPr>
          <w:lang w:val="en-NZ"/>
        </w:rPr>
        <w:t>This acquisition date should be the date the purchaser acquires their “first interest” in the property</w:t>
      </w:r>
      <w:r w:rsidR="00A5348C">
        <w:rPr>
          <w:lang w:val="en-NZ"/>
        </w:rPr>
        <w:t>,</w:t>
      </w:r>
      <w:r>
        <w:rPr>
          <w:lang w:val="en-NZ"/>
        </w:rPr>
        <w:t xml:space="preserve"> which is the date the contract to purchase is entered into.</w:t>
      </w:r>
    </w:p>
    <w:p w:rsidR="00BD0C36" w:rsidRPr="00DB4CC5" w:rsidRDefault="00BD0C36" w:rsidP="00BD0C36">
      <w:pPr>
        <w:rPr>
          <w:lang w:val="en-NZ"/>
        </w:rPr>
      </w:pPr>
    </w:p>
    <w:p w:rsidR="00BD0C36" w:rsidRDefault="00BD0C36" w:rsidP="00BD0C36">
      <w:pPr>
        <w:pStyle w:val="Heading2"/>
        <w:rPr>
          <w:lang w:val="en-NZ"/>
        </w:rPr>
      </w:pPr>
      <w:r w:rsidRPr="00DB4CC5">
        <w:rPr>
          <w:lang w:val="en-NZ"/>
        </w:rPr>
        <w:t>Comment</w:t>
      </w:r>
    </w:p>
    <w:p w:rsidR="00BD0C36" w:rsidRDefault="00BD0C36" w:rsidP="00BD0C36">
      <w:pPr>
        <w:rPr>
          <w:lang w:val="en-NZ"/>
        </w:rPr>
      </w:pPr>
    </w:p>
    <w:p w:rsidR="00BD0C36" w:rsidRDefault="0049619E" w:rsidP="00BD0C36">
      <w:pPr>
        <w:rPr>
          <w:lang w:val="en-NZ"/>
        </w:rPr>
      </w:pPr>
      <w:r>
        <w:rPr>
          <w:lang w:val="en-NZ"/>
        </w:rPr>
        <w:t xml:space="preserve">No rollover relief is proposed for transfers of property to associated persons (see </w:t>
      </w:r>
      <w:r w:rsidR="00EC66EB" w:rsidRPr="009B557D">
        <w:rPr>
          <w:i/>
          <w:lang w:val="en-NZ"/>
        </w:rPr>
        <w:t>I</w:t>
      </w:r>
      <w:r w:rsidR="00D53395">
        <w:rPr>
          <w:i/>
          <w:lang w:val="en-NZ"/>
        </w:rPr>
        <w:t>ssue: Roll</w:t>
      </w:r>
      <w:r w:rsidR="00EC66EB" w:rsidRPr="009B557D">
        <w:rPr>
          <w:i/>
          <w:lang w:val="en-NZ"/>
        </w:rPr>
        <w:t>over relief for associated persons</w:t>
      </w:r>
      <w:r>
        <w:rPr>
          <w:lang w:val="en-NZ"/>
        </w:rPr>
        <w:t>).</w:t>
      </w:r>
    </w:p>
    <w:p w:rsidR="0049619E" w:rsidRDefault="0049619E" w:rsidP="00BD0C36">
      <w:pPr>
        <w:rPr>
          <w:lang w:val="en-NZ"/>
        </w:rPr>
      </w:pPr>
    </w:p>
    <w:p w:rsidR="0049619E" w:rsidRDefault="0049619E" w:rsidP="00BD0C36">
      <w:pPr>
        <w:rPr>
          <w:lang w:val="en-NZ"/>
        </w:rPr>
      </w:pPr>
      <w:r>
        <w:rPr>
          <w:lang w:val="en-NZ"/>
        </w:rPr>
        <w:t>As a result the start date for associated</w:t>
      </w:r>
      <w:r w:rsidR="001D49FE">
        <w:rPr>
          <w:lang w:val="en-NZ"/>
        </w:rPr>
        <w:t>-</w:t>
      </w:r>
      <w:r>
        <w:rPr>
          <w:lang w:val="en-NZ"/>
        </w:rPr>
        <w:t>party nominations would be the same as for third</w:t>
      </w:r>
      <w:r w:rsidR="002A07CC">
        <w:rPr>
          <w:lang w:val="en-NZ"/>
        </w:rPr>
        <w:t>-</w:t>
      </w:r>
      <w:r>
        <w:rPr>
          <w:lang w:val="en-NZ"/>
        </w:rPr>
        <w:t>party nominations.</w:t>
      </w:r>
    </w:p>
    <w:p w:rsidR="00BD0C36" w:rsidRPr="00DB4CC5" w:rsidRDefault="00BD0C36" w:rsidP="00BD0C36">
      <w:pPr>
        <w:rPr>
          <w:lang w:val="en-NZ"/>
        </w:rPr>
      </w:pPr>
    </w:p>
    <w:p w:rsidR="00BD0C36" w:rsidRPr="00DB4CC5" w:rsidRDefault="00BD0C36" w:rsidP="00BD0C36">
      <w:pPr>
        <w:pStyle w:val="Heading2"/>
        <w:rPr>
          <w:lang w:val="en-NZ"/>
        </w:rPr>
      </w:pPr>
      <w:r w:rsidRPr="00DB4CC5">
        <w:rPr>
          <w:lang w:val="en-NZ"/>
        </w:rPr>
        <w:t>Recommendation</w:t>
      </w:r>
    </w:p>
    <w:p w:rsidR="00BD0C36" w:rsidRPr="00DB4CC5" w:rsidRDefault="00BD0C36" w:rsidP="00BD0C36">
      <w:pPr>
        <w:rPr>
          <w:lang w:val="en-NZ"/>
        </w:rPr>
      </w:pPr>
    </w:p>
    <w:p w:rsidR="00EF4BAB" w:rsidRPr="00DB4CC5" w:rsidRDefault="00BD0C36" w:rsidP="000B7504">
      <w:pPr>
        <w:rPr>
          <w:lang w:val="en-NZ"/>
        </w:rPr>
      </w:pPr>
      <w:r w:rsidRPr="00DB4CC5">
        <w:rPr>
          <w:lang w:val="en-NZ"/>
        </w:rPr>
        <w:t xml:space="preserve">That the submission be </w:t>
      </w:r>
      <w:r w:rsidR="007860AA">
        <w:rPr>
          <w:lang w:val="en-NZ"/>
        </w:rPr>
        <w:t>declined.</w:t>
      </w:r>
    </w:p>
    <w:p w:rsidR="00D052D2" w:rsidRPr="00DB4CC5" w:rsidRDefault="00D052D2" w:rsidP="00D052D2">
      <w:pPr>
        <w:pBdr>
          <w:bottom w:val="single" w:sz="4" w:space="1" w:color="auto"/>
        </w:pBdr>
        <w:rPr>
          <w:lang w:val="en-NZ"/>
        </w:rPr>
      </w:pPr>
    </w:p>
    <w:p w:rsidR="00D052D2" w:rsidRDefault="00D052D2" w:rsidP="00D052D2">
      <w:pPr>
        <w:rPr>
          <w:lang w:val="en-NZ"/>
        </w:rPr>
      </w:pPr>
    </w:p>
    <w:p w:rsidR="007E7996" w:rsidRPr="00DB4CC5" w:rsidRDefault="007E7996" w:rsidP="00D052D2">
      <w:pPr>
        <w:rPr>
          <w:lang w:val="en-NZ"/>
        </w:rPr>
      </w:pPr>
    </w:p>
    <w:p w:rsidR="00D052D2" w:rsidRPr="00DB4CC5" w:rsidRDefault="00D052D2" w:rsidP="00D052D2">
      <w:pPr>
        <w:pStyle w:val="Heading5"/>
        <w:ind w:left="794" w:hanging="794"/>
        <w:rPr>
          <w:lang w:val="en-NZ"/>
        </w:rPr>
      </w:pPr>
      <w:bookmarkStart w:id="31" w:name="_Toc432411919"/>
      <w:r w:rsidRPr="00DB4CC5">
        <w:rPr>
          <w:lang w:val="en-NZ"/>
        </w:rPr>
        <w:t>Issue:</w:t>
      </w:r>
      <w:r w:rsidRPr="00DB4CC5">
        <w:rPr>
          <w:lang w:val="en-NZ"/>
        </w:rPr>
        <w:tab/>
      </w:r>
      <w:r>
        <w:rPr>
          <w:lang w:val="en-NZ"/>
        </w:rPr>
        <w:t>Clarification required for “date of acquisition</w:t>
      </w:r>
      <w:r w:rsidR="00206B24">
        <w:rPr>
          <w:lang w:val="en-NZ"/>
        </w:rPr>
        <w:t>”</w:t>
      </w:r>
      <w:bookmarkEnd w:id="31"/>
    </w:p>
    <w:p w:rsidR="00D052D2" w:rsidRPr="00DB4CC5" w:rsidRDefault="00D052D2" w:rsidP="00D052D2">
      <w:pPr>
        <w:rPr>
          <w:lang w:val="en-NZ"/>
        </w:rPr>
      </w:pPr>
    </w:p>
    <w:p w:rsidR="00D052D2" w:rsidRPr="00DB4CC5" w:rsidRDefault="00D052D2" w:rsidP="00D052D2">
      <w:pPr>
        <w:rPr>
          <w:lang w:val="en-NZ"/>
        </w:rPr>
      </w:pPr>
    </w:p>
    <w:p w:rsidR="00D052D2" w:rsidRPr="00DB4CC5" w:rsidRDefault="00D052D2" w:rsidP="00D052D2">
      <w:pPr>
        <w:pStyle w:val="Heading2"/>
        <w:rPr>
          <w:lang w:val="en-NZ"/>
        </w:rPr>
      </w:pPr>
      <w:r w:rsidRPr="00DB4CC5">
        <w:rPr>
          <w:lang w:val="en-NZ"/>
        </w:rPr>
        <w:t>Submission</w:t>
      </w:r>
    </w:p>
    <w:p w:rsidR="00D052D2" w:rsidRPr="00DB4CC5" w:rsidRDefault="00D052D2" w:rsidP="00D052D2">
      <w:pPr>
        <w:pStyle w:val="Heading4"/>
        <w:rPr>
          <w:lang w:val="en-NZ"/>
        </w:rPr>
      </w:pPr>
      <w:r>
        <w:rPr>
          <w:lang w:val="en-NZ"/>
        </w:rPr>
        <w:t>(EY)</w:t>
      </w:r>
    </w:p>
    <w:p w:rsidR="00D052D2" w:rsidRPr="00DB4CC5" w:rsidRDefault="00D052D2" w:rsidP="00D052D2">
      <w:pPr>
        <w:tabs>
          <w:tab w:val="left" w:pos="5295"/>
        </w:tabs>
        <w:rPr>
          <w:lang w:val="en-NZ"/>
        </w:rPr>
      </w:pPr>
    </w:p>
    <w:p w:rsidR="00D052D2" w:rsidRDefault="009F2B87" w:rsidP="00D052D2">
      <w:pPr>
        <w:rPr>
          <w:lang w:val="en-NZ"/>
        </w:rPr>
      </w:pPr>
      <w:r>
        <w:rPr>
          <w:lang w:val="en-NZ"/>
        </w:rPr>
        <w:t>Clarification is required of the intended meaning of the latest date on which a person acquires an estate or interest in the land</w:t>
      </w:r>
      <w:r w:rsidR="00F16E3E">
        <w:rPr>
          <w:lang w:val="en-NZ"/>
        </w:rPr>
        <w:t>.  G</w:t>
      </w:r>
      <w:r>
        <w:rPr>
          <w:lang w:val="en-NZ"/>
        </w:rPr>
        <w:t>iven the broad definitions for income tax purposes of the “estate” or “interest” in relation to land and the use of the indefinite article, it does not seem to make sense to refer to a “latest date” for acquiring any such interest</w:t>
      </w:r>
      <w:r w:rsidR="00F16E3E">
        <w:rPr>
          <w:lang w:val="en-NZ"/>
        </w:rPr>
        <w:t>.  A</w:t>
      </w:r>
      <w:r>
        <w:rPr>
          <w:lang w:val="en-NZ"/>
        </w:rPr>
        <w:t xml:space="preserve"> particular estate or interest will be acquired at a single particular date, not at a number of successive dates.</w:t>
      </w:r>
    </w:p>
    <w:p w:rsidR="009F2B87" w:rsidRDefault="009F2B87" w:rsidP="00D052D2">
      <w:pPr>
        <w:rPr>
          <w:lang w:val="en-NZ"/>
        </w:rPr>
      </w:pPr>
    </w:p>
    <w:p w:rsidR="009F2B87" w:rsidRDefault="009F2B87" w:rsidP="00D052D2">
      <w:pPr>
        <w:rPr>
          <w:lang w:val="en-NZ"/>
        </w:rPr>
      </w:pPr>
      <w:r>
        <w:rPr>
          <w:lang w:val="en-NZ"/>
        </w:rPr>
        <w:t>If the “latest date” is intended to refer to the date on which the last action required to complete or perfect a person’s title occurs, we consider the wording should be revised to that effect</w:t>
      </w:r>
      <w:r w:rsidR="00F16E3E">
        <w:rPr>
          <w:lang w:val="en-NZ"/>
        </w:rPr>
        <w:t>.  I</w:t>
      </w:r>
      <w:r>
        <w:rPr>
          <w:lang w:val="en-NZ"/>
        </w:rPr>
        <w:t xml:space="preserve">f it is intended to refer to the date when a person acquired the particular estate or interest, the disposal of which is </w:t>
      </w:r>
      <w:r w:rsidR="001D49FE">
        <w:rPr>
          <w:lang w:val="en-NZ"/>
        </w:rPr>
        <w:t>i</w:t>
      </w:r>
      <w:r>
        <w:rPr>
          <w:lang w:val="en-NZ"/>
        </w:rPr>
        <w:t>n question</w:t>
      </w:r>
      <w:r w:rsidR="001D49FE">
        <w:rPr>
          <w:lang w:val="en-NZ"/>
        </w:rPr>
        <w:t>,</w:t>
      </w:r>
      <w:r>
        <w:rPr>
          <w:lang w:val="en-NZ"/>
        </w:rPr>
        <w:t xml:space="preserve"> we suggest the reference should be to the date of acquiring that particular estate or interest.</w:t>
      </w:r>
    </w:p>
    <w:p w:rsidR="00D052D2" w:rsidRPr="00DB4CC5" w:rsidRDefault="00D052D2" w:rsidP="00D052D2">
      <w:pPr>
        <w:rPr>
          <w:lang w:val="en-NZ"/>
        </w:rPr>
      </w:pPr>
    </w:p>
    <w:p w:rsidR="00D052D2" w:rsidRPr="00DB4CC5" w:rsidRDefault="00D052D2" w:rsidP="00D052D2">
      <w:pPr>
        <w:pStyle w:val="Heading2"/>
        <w:rPr>
          <w:lang w:val="en-NZ"/>
        </w:rPr>
      </w:pPr>
      <w:r w:rsidRPr="00DB4CC5">
        <w:rPr>
          <w:lang w:val="en-NZ"/>
        </w:rPr>
        <w:t>Comment</w:t>
      </w:r>
    </w:p>
    <w:p w:rsidR="00D052D2" w:rsidRPr="00DB4CC5" w:rsidRDefault="00D052D2" w:rsidP="00D052D2">
      <w:pPr>
        <w:rPr>
          <w:lang w:val="en-NZ"/>
        </w:rPr>
      </w:pPr>
    </w:p>
    <w:p w:rsidR="00D052D2" w:rsidRDefault="009F2B87" w:rsidP="00D052D2">
      <w:pPr>
        <w:rPr>
          <w:lang w:val="en-NZ"/>
        </w:rPr>
      </w:pPr>
      <w:r>
        <w:rPr>
          <w:lang w:val="en-NZ"/>
        </w:rPr>
        <w:t>We agree that the wording could be clarified by referring to the date of acquiring that particular estate or interest.</w:t>
      </w:r>
    </w:p>
    <w:p w:rsidR="001C74FD" w:rsidRDefault="001C74FD" w:rsidP="00D052D2">
      <w:pPr>
        <w:rPr>
          <w:lang w:val="en-NZ"/>
        </w:rPr>
      </w:pPr>
    </w:p>
    <w:p w:rsidR="001C74FD" w:rsidRPr="00DB4CC5" w:rsidRDefault="001C74FD" w:rsidP="00D052D2">
      <w:pPr>
        <w:rPr>
          <w:lang w:val="en-NZ"/>
        </w:rPr>
      </w:pPr>
      <w:r>
        <w:rPr>
          <w:lang w:val="en-NZ"/>
        </w:rPr>
        <w:t>However we consider that the “latest date” requirement is necessary to address situations where there may be several stages involved in acquiring the same interest or where an interest is converted into an estate.</w:t>
      </w:r>
    </w:p>
    <w:p w:rsidR="00D052D2" w:rsidRPr="00DB4CC5" w:rsidRDefault="00D052D2" w:rsidP="00D052D2">
      <w:pPr>
        <w:rPr>
          <w:lang w:val="en-NZ"/>
        </w:rPr>
      </w:pPr>
    </w:p>
    <w:p w:rsidR="00D052D2" w:rsidRPr="00DB4CC5" w:rsidRDefault="00D052D2" w:rsidP="00D052D2">
      <w:pPr>
        <w:pStyle w:val="Heading2"/>
        <w:rPr>
          <w:lang w:val="en-NZ"/>
        </w:rPr>
      </w:pPr>
      <w:r w:rsidRPr="00DB4CC5">
        <w:rPr>
          <w:lang w:val="en-NZ"/>
        </w:rPr>
        <w:t>Recommendation</w:t>
      </w:r>
    </w:p>
    <w:p w:rsidR="00D052D2" w:rsidRPr="00DB4CC5" w:rsidRDefault="00D052D2" w:rsidP="00D052D2">
      <w:pPr>
        <w:rPr>
          <w:lang w:val="en-NZ"/>
        </w:rPr>
      </w:pPr>
    </w:p>
    <w:p w:rsidR="00D052D2" w:rsidRPr="00DB4CC5" w:rsidRDefault="009F2B87" w:rsidP="00D052D2">
      <w:pPr>
        <w:pBdr>
          <w:bottom w:val="single" w:sz="4" w:space="1" w:color="auto"/>
        </w:pBdr>
        <w:rPr>
          <w:lang w:val="en-NZ"/>
        </w:rPr>
      </w:pPr>
      <w:r>
        <w:rPr>
          <w:lang w:val="en-NZ"/>
        </w:rPr>
        <w:t>That the submission be accepted</w:t>
      </w:r>
      <w:r w:rsidR="002A07CC">
        <w:rPr>
          <w:lang w:val="en-NZ"/>
        </w:rPr>
        <w:t>,</w:t>
      </w:r>
      <w:r>
        <w:rPr>
          <w:lang w:val="en-NZ"/>
        </w:rPr>
        <w:t xml:space="preserve"> subject to officials’ comments.</w:t>
      </w:r>
    </w:p>
    <w:p w:rsidR="00D052D2" w:rsidRPr="00DB4CC5" w:rsidRDefault="00D052D2" w:rsidP="00D052D2">
      <w:pPr>
        <w:pBdr>
          <w:bottom w:val="single" w:sz="4" w:space="1" w:color="auto"/>
        </w:pBdr>
        <w:rPr>
          <w:lang w:val="en-NZ"/>
        </w:rPr>
      </w:pPr>
    </w:p>
    <w:p w:rsidR="00D052D2" w:rsidRDefault="00D052D2" w:rsidP="00D052D2">
      <w:pPr>
        <w:rPr>
          <w:lang w:val="en-NZ"/>
        </w:rPr>
      </w:pPr>
    </w:p>
    <w:p w:rsidR="007E7996" w:rsidRPr="00DB4CC5" w:rsidRDefault="007E7996" w:rsidP="00D052D2">
      <w:pPr>
        <w:rPr>
          <w:lang w:val="en-NZ"/>
        </w:rPr>
      </w:pPr>
    </w:p>
    <w:p w:rsidR="00132BD8" w:rsidRPr="00DB4CC5" w:rsidRDefault="00132BD8" w:rsidP="00132BD8">
      <w:pPr>
        <w:pStyle w:val="Heading5"/>
        <w:ind w:left="794" w:hanging="794"/>
        <w:rPr>
          <w:lang w:val="en-NZ"/>
        </w:rPr>
      </w:pPr>
      <w:bookmarkStart w:id="32" w:name="_Toc432411920"/>
      <w:r w:rsidRPr="00DB4CC5">
        <w:rPr>
          <w:lang w:val="en-NZ"/>
        </w:rPr>
        <w:t>Issue:</w:t>
      </w:r>
      <w:r w:rsidRPr="00DB4CC5">
        <w:rPr>
          <w:lang w:val="en-NZ"/>
        </w:rPr>
        <w:tab/>
      </w:r>
      <w:r>
        <w:rPr>
          <w:lang w:val="en-NZ"/>
        </w:rPr>
        <w:t>Clarification for Land Transfer Act reference</w:t>
      </w:r>
      <w:bookmarkEnd w:id="32"/>
    </w:p>
    <w:p w:rsidR="00132BD8" w:rsidRPr="00DB4CC5" w:rsidRDefault="00132BD8" w:rsidP="00132BD8">
      <w:pPr>
        <w:rPr>
          <w:lang w:val="en-NZ"/>
        </w:rPr>
      </w:pPr>
    </w:p>
    <w:p w:rsidR="00132BD8" w:rsidRPr="00DB4CC5" w:rsidRDefault="00132BD8" w:rsidP="00132BD8">
      <w:pPr>
        <w:rPr>
          <w:lang w:val="en-NZ"/>
        </w:rPr>
      </w:pPr>
    </w:p>
    <w:p w:rsidR="00132BD8" w:rsidRPr="00DB4CC5" w:rsidRDefault="00132BD8" w:rsidP="00132BD8">
      <w:pPr>
        <w:pStyle w:val="Heading2"/>
        <w:rPr>
          <w:lang w:val="en-NZ"/>
        </w:rPr>
      </w:pPr>
      <w:r w:rsidRPr="00DB4CC5">
        <w:rPr>
          <w:lang w:val="en-NZ"/>
        </w:rPr>
        <w:t>Submission</w:t>
      </w:r>
    </w:p>
    <w:p w:rsidR="00132BD8" w:rsidRPr="00DB4CC5" w:rsidRDefault="00132BD8" w:rsidP="00132BD8">
      <w:pPr>
        <w:pStyle w:val="Heading4"/>
        <w:rPr>
          <w:lang w:val="en-NZ"/>
        </w:rPr>
      </w:pPr>
      <w:r>
        <w:rPr>
          <w:lang w:val="en-NZ"/>
        </w:rPr>
        <w:t>(EY)</w:t>
      </w:r>
    </w:p>
    <w:p w:rsidR="00132BD8" w:rsidRPr="00DB4CC5" w:rsidRDefault="00132BD8" w:rsidP="00132BD8">
      <w:pPr>
        <w:tabs>
          <w:tab w:val="left" w:pos="5295"/>
        </w:tabs>
        <w:rPr>
          <w:lang w:val="en-NZ"/>
        </w:rPr>
      </w:pPr>
    </w:p>
    <w:p w:rsidR="00132BD8" w:rsidRDefault="00CD11F4" w:rsidP="00132BD8">
      <w:pPr>
        <w:rPr>
          <w:lang w:val="en-NZ"/>
        </w:rPr>
      </w:pPr>
      <w:r>
        <w:rPr>
          <w:lang w:val="en-NZ"/>
        </w:rPr>
        <w:t xml:space="preserve">Clarification would be desirable </w:t>
      </w:r>
      <w:r w:rsidR="00941A57">
        <w:rPr>
          <w:lang w:val="en-NZ"/>
        </w:rPr>
        <w:t>on</w:t>
      </w:r>
      <w:r>
        <w:rPr>
          <w:lang w:val="en-NZ"/>
        </w:rPr>
        <w:t xml:space="preserve"> whether the reference to “if the land is not registered as described”</w:t>
      </w:r>
      <w:r w:rsidR="00520C6D">
        <w:rPr>
          <w:lang w:val="en-NZ"/>
        </w:rPr>
        <w:t xml:space="preserve"> in proposed section CB </w:t>
      </w:r>
      <w:proofErr w:type="gramStart"/>
      <w:r w:rsidR="00520C6D">
        <w:rPr>
          <w:lang w:val="en-NZ"/>
        </w:rPr>
        <w:t>6A(</w:t>
      </w:r>
      <w:proofErr w:type="gramEnd"/>
      <w:r w:rsidR="00520C6D">
        <w:rPr>
          <w:lang w:val="en-NZ"/>
        </w:rPr>
        <w:t>1)</w:t>
      </w:r>
      <w:r>
        <w:rPr>
          <w:lang w:val="en-NZ"/>
        </w:rPr>
        <w:t xml:space="preserve"> should be to the instrument of transfer of the land in this regard, rather than to the land itself.</w:t>
      </w:r>
    </w:p>
    <w:p w:rsidR="00132BD8" w:rsidRPr="00DB4CC5" w:rsidRDefault="00132BD8" w:rsidP="00132BD8">
      <w:pPr>
        <w:rPr>
          <w:lang w:val="en-NZ"/>
        </w:rPr>
      </w:pPr>
    </w:p>
    <w:p w:rsidR="00132BD8" w:rsidRPr="00DB4CC5" w:rsidRDefault="00132BD8" w:rsidP="00132BD8">
      <w:pPr>
        <w:pStyle w:val="Heading2"/>
        <w:rPr>
          <w:lang w:val="en-NZ"/>
        </w:rPr>
      </w:pPr>
      <w:r w:rsidRPr="00DB4CC5">
        <w:rPr>
          <w:lang w:val="en-NZ"/>
        </w:rPr>
        <w:t>Comment</w:t>
      </w:r>
    </w:p>
    <w:p w:rsidR="00132BD8" w:rsidRPr="00DB4CC5" w:rsidRDefault="00132BD8" w:rsidP="00132BD8">
      <w:pPr>
        <w:rPr>
          <w:lang w:val="en-NZ"/>
        </w:rPr>
      </w:pPr>
    </w:p>
    <w:p w:rsidR="00132BD8" w:rsidRPr="00DB4CC5" w:rsidRDefault="00CD11F4" w:rsidP="00132BD8">
      <w:pPr>
        <w:rPr>
          <w:lang w:val="en-NZ"/>
        </w:rPr>
      </w:pPr>
      <w:r>
        <w:rPr>
          <w:lang w:val="en-NZ"/>
        </w:rPr>
        <w:t xml:space="preserve">We agree with the </w:t>
      </w:r>
      <w:r w:rsidR="00E352D0">
        <w:rPr>
          <w:lang w:val="en-NZ"/>
        </w:rPr>
        <w:t>submission.</w:t>
      </w:r>
    </w:p>
    <w:p w:rsidR="00132BD8" w:rsidRPr="00DB4CC5" w:rsidRDefault="00132BD8" w:rsidP="00132BD8">
      <w:pPr>
        <w:rPr>
          <w:lang w:val="en-NZ"/>
        </w:rPr>
      </w:pPr>
    </w:p>
    <w:p w:rsidR="00132BD8" w:rsidRPr="00DB4CC5" w:rsidRDefault="00132BD8" w:rsidP="00132BD8">
      <w:pPr>
        <w:pStyle w:val="Heading2"/>
        <w:rPr>
          <w:lang w:val="en-NZ"/>
        </w:rPr>
      </w:pPr>
      <w:r w:rsidRPr="00DB4CC5">
        <w:rPr>
          <w:lang w:val="en-NZ"/>
        </w:rPr>
        <w:t>Recommendation</w:t>
      </w:r>
    </w:p>
    <w:p w:rsidR="00132BD8" w:rsidRPr="00DB4CC5" w:rsidRDefault="00132BD8" w:rsidP="00132BD8">
      <w:pPr>
        <w:rPr>
          <w:lang w:val="en-NZ"/>
        </w:rPr>
      </w:pPr>
    </w:p>
    <w:p w:rsidR="00132BD8" w:rsidRDefault="00E352D0" w:rsidP="00BE1413">
      <w:pPr>
        <w:rPr>
          <w:lang w:val="en-NZ"/>
        </w:rPr>
      </w:pPr>
      <w:r>
        <w:rPr>
          <w:lang w:val="en-NZ"/>
        </w:rPr>
        <w:t>That the submission be accepted.</w:t>
      </w:r>
    </w:p>
    <w:p w:rsidR="00132BD8" w:rsidRPr="00DB4CC5" w:rsidRDefault="00132BD8" w:rsidP="00132BD8">
      <w:pPr>
        <w:pBdr>
          <w:bottom w:val="single" w:sz="4" w:space="1" w:color="auto"/>
        </w:pBdr>
        <w:rPr>
          <w:lang w:val="en-NZ"/>
        </w:rPr>
      </w:pPr>
    </w:p>
    <w:p w:rsidR="00B235E7" w:rsidRDefault="00B235E7" w:rsidP="00B235E7">
      <w:pPr>
        <w:rPr>
          <w:lang w:val="en-NZ"/>
        </w:rPr>
      </w:pPr>
    </w:p>
    <w:p w:rsidR="007E7996" w:rsidRPr="00DB4CC5" w:rsidRDefault="007E7996" w:rsidP="00B235E7">
      <w:pPr>
        <w:rPr>
          <w:lang w:val="en-NZ"/>
        </w:rPr>
      </w:pPr>
    </w:p>
    <w:p w:rsidR="00B235E7" w:rsidRPr="00DB4CC5" w:rsidRDefault="00B235E7" w:rsidP="00B235E7">
      <w:pPr>
        <w:pStyle w:val="Heading5"/>
        <w:ind w:left="794" w:hanging="794"/>
        <w:rPr>
          <w:lang w:val="en-NZ"/>
        </w:rPr>
      </w:pPr>
      <w:bookmarkStart w:id="33" w:name="_Toc432411921"/>
      <w:r w:rsidRPr="00DB4CC5">
        <w:rPr>
          <w:lang w:val="en-NZ"/>
        </w:rPr>
        <w:t>Issue:</w:t>
      </w:r>
      <w:r w:rsidRPr="00DB4CC5">
        <w:rPr>
          <w:lang w:val="en-NZ"/>
        </w:rPr>
        <w:tab/>
      </w:r>
      <w:r>
        <w:rPr>
          <w:lang w:val="en-NZ"/>
        </w:rPr>
        <w:t>Subdivided land</w:t>
      </w:r>
      <w:bookmarkEnd w:id="33"/>
    </w:p>
    <w:p w:rsidR="00B235E7" w:rsidRPr="00DB4CC5" w:rsidRDefault="00B235E7" w:rsidP="00B235E7">
      <w:pPr>
        <w:rPr>
          <w:lang w:val="en-NZ"/>
        </w:rPr>
      </w:pPr>
    </w:p>
    <w:p w:rsidR="00B235E7" w:rsidRPr="00DB4CC5" w:rsidRDefault="00B235E7" w:rsidP="00B235E7">
      <w:pPr>
        <w:rPr>
          <w:lang w:val="en-NZ"/>
        </w:rPr>
      </w:pPr>
    </w:p>
    <w:p w:rsidR="00B235E7" w:rsidRPr="00DB4CC5" w:rsidRDefault="00B235E7" w:rsidP="00B235E7">
      <w:pPr>
        <w:pStyle w:val="Heading2"/>
        <w:rPr>
          <w:lang w:val="en-NZ"/>
        </w:rPr>
      </w:pPr>
      <w:r w:rsidRPr="00DB4CC5">
        <w:rPr>
          <w:lang w:val="en-NZ"/>
        </w:rPr>
        <w:t>Submission</w:t>
      </w:r>
    </w:p>
    <w:p w:rsidR="00B235E7" w:rsidRPr="00DB4CC5" w:rsidRDefault="00B235E7" w:rsidP="00B235E7">
      <w:pPr>
        <w:pStyle w:val="Heading4"/>
        <w:rPr>
          <w:lang w:val="en-NZ"/>
        </w:rPr>
      </w:pPr>
      <w:r>
        <w:rPr>
          <w:lang w:val="en-NZ"/>
        </w:rPr>
        <w:t>(EY)</w:t>
      </w:r>
    </w:p>
    <w:p w:rsidR="00B235E7" w:rsidRPr="00DB4CC5" w:rsidRDefault="00B235E7" w:rsidP="00B235E7">
      <w:pPr>
        <w:tabs>
          <w:tab w:val="left" w:pos="5295"/>
        </w:tabs>
        <w:rPr>
          <w:lang w:val="en-NZ"/>
        </w:rPr>
      </w:pPr>
    </w:p>
    <w:p w:rsidR="00B235E7" w:rsidRDefault="00C16D8A" w:rsidP="00B235E7">
      <w:pPr>
        <w:rPr>
          <w:lang w:val="en-NZ"/>
        </w:rPr>
      </w:pPr>
      <w:r>
        <w:rPr>
          <w:lang w:val="en-NZ"/>
        </w:rPr>
        <w:t>P</w:t>
      </w:r>
      <w:r w:rsidR="00B235E7">
        <w:rPr>
          <w:lang w:val="en-NZ"/>
        </w:rPr>
        <w:t>roposed</w:t>
      </w:r>
      <w:r>
        <w:rPr>
          <w:lang w:val="en-NZ"/>
        </w:rPr>
        <w:t xml:space="preserve"> section</w:t>
      </w:r>
      <w:r w:rsidR="00B235E7">
        <w:rPr>
          <w:lang w:val="en-NZ"/>
        </w:rPr>
        <w:t xml:space="preserve"> CB </w:t>
      </w:r>
      <w:proofErr w:type="gramStart"/>
      <w:r w:rsidR="00B235E7">
        <w:rPr>
          <w:lang w:val="en-NZ"/>
        </w:rPr>
        <w:t>6A(</w:t>
      </w:r>
      <w:proofErr w:type="gramEnd"/>
      <w:r w:rsidR="00B235E7">
        <w:rPr>
          <w:lang w:val="en-NZ"/>
        </w:rPr>
        <w:t>2) refers to disposals of residential land that result “from the person subdividing other land”</w:t>
      </w:r>
      <w:r w:rsidR="00F16E3E">
        <w:rPr>
          <w:lang w:val="en-NZ"/>
        </w:rPr>
        <w:t>.  T</w:t>
      </w:r>
      <w:r w:rsidR="00B235E7">
        <w:rPr>
          <w:lang w:val="en-NZ"/>
        </w:rPr>
        <w:t>o make clear that this applies when that other land is not already “residential land” the words “whether or not that land is residential land” should be added.</w:t>
      </w:r>
    </w:p>
    <w:p w:rsidR="00B235E7" w:rsidRPr="00DB4CC5" w:rsidRDefault="00B235E7" w:rsidP="00B235E7">
      <w:pPr>
        <w:rPr>
          <w:lang w:val="en-NZ"/>
        </w:rPr>
      </w:pPr>
    </w:p>
    <w:p w:rsidR="00B235E7" w:rsidRPr="00DB4CC5" w:rsidRDefault="00B235E7" w:rsidP="00B235E7">
      <w:pPr>
        <w:pStyle w:val="Heading2"/>
        <w:rPr>
          <w:lang w:val="en-NZ"/>
        </w:rPr>
      </w:pPr>
      <w:r w:rsidRPr="00DB4CC5">
        <w:rPr>
          <w:lang w:val="en-NZ"/>
        </w:rPr>
        <w:t>Comment</w:t>
      </w:r>
    </w:p>
    <w:p w:rsidR="00B235E7" w:rsidRPr="00DB4CC5" w:rsidRDefault="00B235E7" w:rsidP="00B235E7">
      <w:pPr>
        <w:rPr>
          <w:lang w:val="en-NZ"/>
        </w:rPr>
      </w:pPr>
    </w:p>
    <w:p w:rsidR="00B235E7" w:rsidRPr="00DB4CC5" w:rsidRDefault="0042308F" w:rsidP="00B235E7">
      <w:pPr>
        <w:rPr>
          <w:lang w:val="en-NZ"/>
        </w:rPr>
      </w:pPr>
      <w:r>
        <w:rPr>
          <w:lang w:val="en-NZ"/>
        </w:rPr>
        <w:t>“Residential land” and “land” are both specifically defined terms</w:t>
      </w:r>
      <w:r w:rsidR="00F16E3E">
        <w:rPr>
          <w:lang w:val="en-NZ"/>
        </w:rPr>
        <w:t>.  W</w:t>
      </w:r>
      <w:r>
        <w:rPr>
          <w:lang w:val="en-NZ"/>
        </w:rPr>
        <w:t xml:space="preserve">here the section uses the term “land” and not “residential land” we believe it is clear </w:t>
      </w:r>
      <w:r w:rsidR="00E352D0">
        <w:rPr>
          <w:lang w:val="en-NZ"/>
        </w:rPr>
        <w:t>that the wider definition of “land” app</w:t>
      </w:r>
      <w:r w:rsidR="00520C6D">
        <w:rPr>
          <w:lang w:val="en-NZ"/>
        </w:rPr>
        <w:t>lies</w:t>
      </w:r>
      <w:r w:rsidR="00E352D0">
        <w:rPr>
          <w:lang w:val="en-NZ"/>
        </w:rPr>
        <w:t>.</w:t>
      </w:r>
    </w:p>
    <w:p w:rsidR="00B235E7" w:rsidRPr="00DB4CC5" w:rsidRDefault="00B235E7" w:rsidP="00B235E7">
      <w:pPr>
        <w:rPr>
          <w:lang w:val="en-NZ"/>
        </w:rPr>
      </w:pPr>
    </w:p>
    <w:p w:rsidR="00B235E7" w:rsidRPr="00DB4CC5" w:rsidRDefault="00B235E7" w:rsidP="00B235E7">
      <w:pPr>
        <w:pStyle w:val="Heading2"/>
        <w:rPr>
          <w:lang w:val="en-NZ"/>
        </w:rPr>
      </w:pPr>
      <w:r w:rsidRPr="00DB4CC5">
        <w:rPr>
          <w:lang w:val="en-NZ"/>
        </w:rPr>
        <w:t>Recommendation</w:t>
      </w:r>
    </w:p>
    <w:p w:rsidR="00B235E7" w:rsidRPr="00DB4CC5" w:rsidRDefault="00B235E7" w:rsidP="00B235E7">
      <w:pPr>
        <w:rPr>
          <w:lang w:val="en-NZ"/>
        </w:rPr>
      </w:pPr>
    </w:p>
    <w:p w:rsidR="00B235E7" w:rsidRDefault="00932902" w:rsidP="00B235E7">
      <w:pPr>
        <w:pBdr>
          <w:bottom w:val="single" w:sz="4" w:space="1" w:color="auto"/>
        </w:pBdr>
        <w:rPr>
          <w:lang w:val="en-NZ"/>
        </w:rPr>
      </w:pPr>
      <w:r>
        <w:rPr>
          <w:lang w:val="en-NZ"/>
        </w:rPr>
        <w:t>That the submission be declined.</w:t>
      </w:r>
    </w:p>
    <w:p w:rsidR="00B235E7" w:rsidRPr="00DB4CC5" w:rsidRDefault="00B235E7" w:rsidP="00B235E7">
      <w:pPr>
        <w:pBdr>
          <w:bottom w:val="single" w:sz="4" w:space="1" w:color="auto"/>
        </w:pBdr>
        <w:rPr>
          <w:lang w:val="en-NZ"/>
        </w:rPr>
      </w:pPr>
    </w:p>
    <w:p w:rsidR="00D95FF8" w:rsidRDefault="00D95FF8">
      <w:pPr>
        <w:jc w:val="left"/>
        <w:rPr>
          <w:lang w:val="en-NZ"/>
        </w:rPr>
      </w:pPr>
      <w:r>
        <w:rPr>
          <w:lang w:val="en-NZ"/>
        </w:rPr>
        <w:br w:type="page"/>
      </w:r>
    </w:p>
    <w:p w:rsidR="00D95FF8" w:rsidRPr="00DB4CC5" w:rsidRDefault="00D95FF8" w:rsidP="00D95FF8">
      <w:pPr>
        <w:pStyle w:val="Heading1"/>
      </w:pPr>
      <w:bookmarkStart w:id="34" w:name="_Toc432411922"/>
      <w:r>
        <w:t>Residential land</w:t>
      </w:r>
      <w:bookmarkEnd w:id="34"/>
    </w:p>
    <w:p w:rsidR="00D95FF8" w:rsidRPr="00DB4CC5" w:rsidRDefault="00D95FF8" w:rsidP="00D95FF8">
      <w:pPr>
        <w:rPr>
          <w:lang w:val="en-NZ"/>
        </w:rPr>
      </w:pPr>
    </w:p>
    <w:p w:rsidR="00D95FF8" w:rsidRDefault="000E7CA9" w:rsidP="00D95FF8">
      <w:pPr>
        <w:pStyle w:val="Heading3"/>
        <w:rPr>
          <w:lang w:val="en-NZ"/>
        </w:rPr>
      </w:pPr>
      <w:r>
        <w:rPr>
          <w:lang w:val="en-NZ"/>
        </w:rPr>
        <w:t xml:space="preserve">Clause </w:t>
      </w:r>
      <w:r w:rsidR="00FD2863">
        <w:rPr>
          <w:lang w:val="en-NZ"/>
        </w:rPr>
        <w:t>15(5), (</w:t>
      </w:r>
      <w:r>
        <w:rPr>
          <w:lang w:val="en-NZ"/>
        </w:rPr>
        <w:t>7</w:t>
      </w:r>
      <w:r w:rsidR="00FD2863">
        <w:rPr>
          <w:lang w:val="en-NZ"/>
        </w:rPr>
        <w:t>) and (11)</w:t>
      </w:r>
    </w:p>
    <w:p w:rsidR="00D95FF8" w:rsidRDefault="00D95FF8" w:rsidP="00D95FF8">
      <w:pPr>
        <w:rPr>
          <w:lang w:val="en-NZ"/>
        </w:rPr>
      </w:pPr>
    </w:p>
    <w:p w:rsidR="00D95FF8" w:rsidRPr="00DB4CC5" w:rsidRDefault="00D95FF8" w:rsidP="00D95FF8">
      <w:pPr>
        <w:rPr>
          <w:lang w:val="en-NZ"/>
        </w:rPr>
      </w:pPr>
    </w:p>
    <w:p w:rsidR="00D95FF8" w:rsidRPr="00DB4CC5" w:rsidRDefault="00D95FF8" w:rsidP="00D95FF8">
      <w:pPr>
        <w:pStyle w:val="Heading5"/>
        <w:ind w:left="794" w:hanging="794"/>
        <w:rPr>
          <w:lang w:val="en-NZ"/>
        </w:rPr>
      </w:pPr>
      <w:bookmarkStart w:id="35" w:name="_Toc432411923"/>
      <w:r w:rsidRPr="00DB4CC5">
        <w:rPr>
          <w:lang w:val="en-NZ"/>
        </w:rPr>
        <w:t>Issue:</w:t>
      </w:r>
      <w:r w:rsidRPr="00DB4CC5">
        <w:rPr>
          <w:lang w:val="en-NZ"/>
        </w:rPr>
        <w:tab/>
      </w:r>
      <w:r w:rsidR="005316E3">
        <w:rPr>
          <w:lang w:val="en-NZ"/>
        </w:rPr>
        <w:t>Bare land</w:t>
      </w:r>
      <w:bookmarkEnd w:id="35"/>
    </w:p>
    <w:p w:rsidR="00D95FF8" w:rsidRPr="00DB4CC5" w:rsidRDefault="00D95FF8" w:rsidP="00D95FF8">
      <w:pPr>
        <w:rPr>
          <w:lang w:val="en-NZ"/>
        </w:rPr>
      </w:pPr>
    </w:p>
    <w:p w:rsidR="00D95FF8" w:rsidRPr="00DB4CC5" w:rsidRDefault="00D95FF8" w:rsidP="00D95FF8">
      <w:pPr>
        <w:rPr>
          <w:lang w:val="en-NZ"/>
        </w:rPr>
      </w:pPr>
    </w:p>
    <w:p w:rsidR="00D95FF8" w:rsidRPr="00DB4CC5" w:rsidRDefault="00D95FF8" w:rsidP="00D95FF8">
      <w:pPr>
        <w:pStyle w:val="Heading2"/>
        <w:rPr>
          <w:lang w:val="en-NZ"/>
        </w:rPr>
      </w:pPr>
      <w:r w:rsidRPr="00DB4CC5">
        <w:rPr>
          <w:lang w:val="en-NZ"/>
        </w:rPr>
        <w:t>Submission</w:t>
      </w:r>
    </w:p>
    <w:p w:rsidR="00D95FF8" w:rsidRPr="00DB4CC5" w:rsidRDefault="005316E3" w:rsidP="00D95FF8">
      <w:pPr>
        <w:pStyle w:val="Heading4"/>
        <w:rPr>
          <w:lang w:val="en-NZ"/>
        </w:rPr>
      </w:pPr>
      <w:r>
        <w:rPr>
          <w:lang w:val="en-NZ"/>
        </w:rPr>
        <w:t>(Chartered Accountants Australia and New Zealand</w:t>
      </w:r>
      <w:r w:rsidR="00C74270">
        <w:rPr>
          <w:lang w:val="en-NZ"/>
        </w:rPr>
        <w:t xml:space="preserve">, </w:t>
      </w:r>
      <w:r w:rsidR="00F86B7D">
        <w:rPr>
          <w:lang w:val="en-NZ"/>
        </w:rPr>
        <w:t>P</w:t>
      </w:r>
      <w:r w:rsidR="00C74270">
        <w:rPr>
          <w:lang w:val="en-NZ"/>
        </w:rPr>
        <w:t>w</w:t>
      </w:r>
      <w:r w:rsidR="00F86B7D">
        <w:rPr>
          <w:lang w:val="en-NZ"/>
        </w:rPr>
        <w:t>C</w:t>
      </w:r>
      <w:r w:rsidR="00A10303">
        <w:rPr>
          <w:lang w:val="en-NZ"/>
        </w:rPr>
        <w:t>, KPMG</w:t>
      </w:r>
      <w:r>
        <w:rPr>
          <w:lang w:val="en-NZ"/>
        </w:rPr>
        <w:t>)</w:t>
      </w:r>
    </w:p>
    <w:p w:rsidR="00D95FF8" w:rsidRPr="00DB4CC5" w:rsidRDefault="00D95FF8" w:rsidP="00D95FF8">
      <w:pPr>
        <w:tabs>
          <w:tab w:val="left" w:pos="5295"/>
        </w:tabs>
        <w:rPr>
          <w:lang w:val="en-NZ"/>
        </w:rPr>
      </w:pPr>
    </w:p>
    <w:p w:rsidR="00D95FF8" w:rsidRDefault="005316E3" w:rsidP="00D95FF8">
      <w:pPr>
        <w:rPr>
          <w:lang w:val="en-NZ"/>
        </w:rPr>
      </w:pPr>
      <w:r>
        <w:rPr>
          <w:lang w:val="en-NZ"/>
        </w:rPr>
        <w:t>The definition of “residential land” should be changed to refer to “land that is zoned residential”</w:t>
      </w:r>
      <w:r w:rsidR="003F515B">
        <w:rPr>
          <w:lang w:val="en-NZ"/>
        </w:rPr>
        <w:t xml:space="preserve"> or “</w:t>
      </w:r>
      <w:r w:rsidR="0088792D">
        <w:rPr>
          <w:lang w:val="en-NZ"/>
        </w:rPr>
        <w:t xml:space="preserve">land that is zoned for </w:t>
      </w:r>
      <w:r w:rsidR="003F515B">
        <w:rPr>
          <w:lang w:val="en-NZ"/>
        </w:rPr>
        <w:t>residential purposes</w:t>
      </w:r>
      <w:r w:rsidR="00286D7B">
        <w:rPr>
          <w:lang w:val="en-NZ"/>
        </w:rPr>
        <w:t>” rather</w:t>
      </w:r>
      <w:r>
        <w:rPr>
          <w:lang w:val="en-NZ"/>
        </w:rPr>
        <w:t xml:space="preserve"> than land that “because of its area and nature is capable of having a dwelling erected on it</w:t>
      </w:r>
      <w:r w:rsidR="003F515B">
        <w:rPr>
          <w:lang w:val="en-NZ"/>
        </w:rPr>
        <w:t>”.</w:t>
      </w:r>
    </w:p>
    <w:p w:rsidR="005316E3" w:rsidRDefault="005316E3" w:rsidP="00D95FF8">
      <w:pPr>
        <w:rPr>
          <w:lang w:val="en-NZ"/>
        </w:rPr>
      </w:pPr>
    </w:p>
    <w:p w:rsidR="005316E3" w:rsidRDefault="005316E3" w:rsidP="00D95FF8">
      <w:pPr>
        <w:rPr>
          <w:lang w:val="en-NZ"/>
        </w:rPr>
      </w:pPr>
      <w:r>
        <w:rPr>
          <w:lang w:val="en-NZ"/>
        </w:rPr>
        <w:t xml:space="preserve">The current definition is too vague and difficult to </w:t>
      </w:r>
      <w:r w:rsidR="00FD2863">
        <w:rPr>
          <w:lang w:val="en-NZ"/>
        </w:rPr>
        <w:t>apply</w:t>
      </w:r>
      <w:r w:rsidR="00F16E3E">
        <w:rPr>
          <w:lang w:val="en-NZ"/>
        </w:rPr>
        <w:t>.  I</w:t>
      </w:r>
      <w:r>
        <w:rPr>
          <w:lang w:val="en-NZ"/>
        </w:rPr>
        <w:t>n addition</w:t>
      </w:r>
      <w:r w:rsidR="00E51C28">
        <w:rPr>
          <w:lang w:val="en-NZ"/>
        </w:rPr>
        <w:t>,</w:t>
      </w:r>
      <w:r>
        <w:rPr>
          <w:lang w:val="en-NZ"/>
        </w:rPr>
        <w:t xml:space="preserve"> most bare land would appear to meet this test.</w:t>
      </w:r>
    </w:p>
    <w:p w:rsidR="00D95FF8" w:rsidRPr="00DB4CC5" w:rsidRDefault="00D95FF8" w:rsidP="00D95FF8">
      <w:pPr>
        <w:rPr>
          <w:lang w:val="en-NZ"/>
        </w:rPr>
      </w:pPr>
    </w:p>
    <w:p w:rsidR="00D95FF8" w:rsidRPr="00DB4CC5" w:rsidRDefault="00D95FF8" w:rsidP="00D95FF8">
      <w:pPr>
        <w:pStyle w:val="Heading2"/>
        <w:rPr>
          <w:lang w:val="en-NZ"/>
        </w:rPr>
      </w:pPr>
      <w:r w:rsidRPr="00DB4CC5">
        <w:rPr>
          <w:lang w:val="en-NZ"/>
        </w:rPr>
        <w:t>Comment</w:t>
      </w:r>
    </w:p>
    <w:p w:rsidR="00D95FF8" w:rsidRPr="00DB4CC5" w:rsidRDefault="00D95FF8" w:rsidP="00D95FF8">
      <w:pPr>
        <w:rPr>
          <w:lang w:val="en-NZ"/>
        </w:rPr>
      </w:pPr>
    </w:p>
    <w:p w:rsidR="009909C2" w:rsidRDefault="007860AA" w:rsidP="00503F38">
      <w:pPr>
        <w:rPr>
          <w:lang w:val="en-NZ"/>
        </w:rPr>
      </w:pPr>
      <w:r>
        <w:rPr>
          <w:lang w:val="en-NZ"/>
        </w:rPr>
        <w:t xml:space="preserve">We agree that </w:t>
      </w:r>
      <w:r w:rsidR="005464EC">
        <w:rPr>
          <w:lang w:val="en-NZ"/>
        </w:rPr>
        <w:t>the definition</w:t>
      </w:r>
      <w:r>
        <w:rPr>
          <w:lang w:val="en-NZ"/>
        </w:rPr>
        <w:t xml:space="preserve"> could be improved by referring to zoning rules</w:t>
      </w:r>
      <w:r w:rsidR="005464EC">
        <w:rPr>
          <w:lang w:val="en-NZ"/>
        </w:rPr>
        <w:t xml:space="preserve"> rather than the area and nature of the land.</w:t>
      </w:r>
    </w:p>
    <w:p w:rsidR="00503F38" w:rsidRPr="00DB4CC5" w:rsidRDefault="00503F38" w:rsidP="00503F38">
      <w:pPr>
        <w:rPr>
          <w:lang w:val="en-NZ"/>
        </w:rPr>
      </w:pPr>
    </w:p>
    <w:p w:rsidR="00D95FF8" w:rsidRPr="00DB4CC5" w:rsidRDefault="00D95FF8" w:rsidP="00D95FF8">
      <w:pPr>
        <w:pStyle w:val="Heading2"/>
        <w:rPr>
          <w:lang w:val="en-NZ"/>
        </w:rPr>
      </w:pPr>
      <w:r w:rsidRPr="00DB4CC5">
        <w:rPr>
          <w:lang w:val="en-NZ"/>
        </w:rPr>
        <w:t>Recommendation</w:t>
      </w:r>
    </w:p>
    <w:p w:rsidR="00D95FF8" w:rsidRPr="00DB4CC5" w:rsidRDefault="00D95FF8" w:rsidP="00D95FF8">
      <w:pPr>
        <w:rPr>
          <w:lang w:val="en-NZ"/>
        </w:rPr>
      </w:pPr>
    </w:p>
    <w:p w:rsidR="00D95FF8" w:rsidRPr="00DB4CC5" w:rsidRDefault="00D95FF8" w:rsidP="00D95FF8">
      <w:pPr>
        <w:rPr>
          <w:lang w:val="en-NZ"/>
        </w:rPr>
      </w:pPr>
      <w:r w:rsidRPr="00DB4CC5">
        <w:rPr>
          <w:lang w:val="en-NZ"/>
        </w:rPr>
        <w:t xml:space="preserve">That the submission be </w:t>
      </w:r>
      <w:r w:rsidR="009909C2">
        <w:rPr>
          <w:lang w:val="en-NZ"/>
        </w:rPr>
        <w:t>accepted</w:t>
      </w:r>
      <w:r w:rsidR="00A7524C">
        <w:rPr>
          <w:lang w:val="en-NZ"/>
        </w:rPr>
        <w:t>,</w:t>
      </w:r>
      <w:r w:rsidR="009909C2">
        <w:rPr>
          <w:lang w:val="en-NZ"/>
        </w:rPr>
        <w:t xml:space="preserve"> subject to officials</w:t>
      </w:r>
      <w:r w:rsidR="00565E35">
        <w:rPr>
          <w:lang w:val="en-NZ"/>
        </w:rPr>
        <w:t>’</w:t>
      </w:r>
      <w:r w:rsidR="009909C2">
        <w:rPr>
          <w:lang w:val="en-NZ"/>
        </w:rPr>
        <w:t xml:space="preserve"> comment</w:t>
      </w:r>
      <w:r w:rsidR="00FD2863">
        <w:rPr>
          <w:lang w:val="en-NZ"/>
        </w:rPr>
        <w:t>.</w:t>
      </w:r>
    </w:p>
    <w:p w:rsidR="00D95FF8" w:rsidRPr="00DB4CC5" w:rsidRDefault="00D95FF8" w:rsidP="00D95FF8">
      <w:pPr>
        <w:pBdr>
          <w:bottom w:val="single" w:sz="4" w:space="1" w:color="auto"/>
        </w:pBdr>
        <w:rPr>
          <w:lang w:val="en-NZ"/>
        </w:rPr>
      </w:pPr>
    </w:p>
    <w:p w:rsidR="00D95FF8" w:rsidRDefault="00D95FF8" w:rsidP="00D95FF8">
      <w:pPr>
        <w:rPr>
          <w:lang w:val="en-NZ"/>
        </w:rPr>
      </w:pPr>
    </w:p>
    <w:p w:rsidR="007E7996" w:rsidRPr="00DB4CC5" w:rsidRDefault="007E7996" w:rsidP="00D95FF8">
      <w:pPr>
        <w:rPr>
          <w:lang w:val="en-NZ"/>
        </w:rPr>
      </w:pPr>
    </w:p>
    <w:p w:rsidR="00D95FF8" w:rsidRPr="00DB4CC5" w:rsidRDefault="00D95FF8" w:rsidP="00D95FF8">
      <w:pPr>
        <w:pStyle w:val="Heading5"/>
        <w:ind w:left="794" w:hanging="794"/>
        <w:rPr>
          <w:lang w:val="en-NZ"/>
        </w:rPr>
      </w:pPr>
      <w:bookmarkStart w:id="36" w:name="_Toc432411924"/>
      <w:r w:rsidRPr="00DB4CC5">
        <w:rPr>
          <w:lang w:val="en-NZ"/>
        </w:rPr>
        <w:t>Issue:</w:t>
      </w:r>
      <w:r w:rsidRPr="00DB4CC5">
        <w:rPr>
          <w:lang w:val="en-NZ"/>
        </w:rPr>
        <w:tab/>
      </w:r>
      <w:r w:rsidR="005316E3">
        <w:rPr>
          <w:lang w:val="en-NZ"/>
        </w:rPr>
        <w:t>Farmland</w:t>
      </w:r>
      <w:bookmarkEnd w:id="36"/>
    </w:p>
    <w:p w:rsidR="00D95FF8" w:rsidRPr="00DB4CC5" w:rsidRDefault="00D95FF8" w:rsidP="00D95FF8">
      <w:pPr>
        <w:rPr>
          <w:lang w:val="en-NZ"/>
        </w:rPr>
      </w:pPr>
    </w:p>
    <w:p w:rsidR="00D95FF8" w:rsidRPr="00DB4CC5" w:rsidRDefault="00D95FF8" w:rsidP="00D95FF8">
      <w:pPr>
        <w:rPr>
          <w:lang w:val="en-NZ"/>
        </w:rPr>
      </w:pPr>
    </w:p>
    <w:p w:rsidR="00D95FF8" w:rsidRPr="00DB4CC5" w:rsidRDefault="00D95FF8" w:rsidP="00D95FF8">
      <w:pPr>
        <w:pStyle w:val="Heading2"/>
        <w:rPr>
          <w:lang w:val="en-NZ"/>
        </w:rPr>
      </w:pPr>
      <w:r w:rsidRPr="00DB4CC5">
        <w:rPr>
          <w:lang w:val="en-NZ"/>
        </w:rPr>
        <w:t>Submission</w:t>
      </w:r>
      <w:r w:rsidR="00765296">
        <w:rPr>
          <w:lang w:val="en-NZ"/>
        </w:rPr>
        <w:t>s</w:t>
      </w:r>
    </w:p>
    <w:p w:rsidR="00D95FF8" w:rsidRPr="00DB4CC5" w:rsidRDefault="005316E3" w:rsidP="00D95FF8">
      <w:pPr>
        <w:pStyle w:val="Heading4"/>
        <w:rPr>
          <w:lang w:val="en-NZ"/>
        </w:rPr>
      </w:pPr>
      <w:r>
        <w:rPr>
          <w:lang w:val="en-NZ"/>
        </w:rPr>
        <w:t>(Chartered Accountants Australia and New Zealand</w:t>
      </w:r>
      <w:r w:rsidR="00B95617">
        <w:rPr>
          <w:lang w:val="en-NZ"/>
        </w:rPr>
        <w:t xml:space="preserve">, New </w:t>
      </w:r>
      <w:r w:rsidR="00FD2863">
        <w:rPr>
          <w:lang w:val="en-NZ"/>
        </w:rPr>
        <w:t>Zealand</w:t>
      </w:r>
      <w:r w:rsidR="00B95617">
        <w:rPr>
          <w:lang w:val="en-NZ"/>
        </w:rPr>
        <w:t xml:space="preserve"> Law Society</w:t>
      </w:r>
      <w:r w:rsidR="003C3578">
        <w:rPr>
          <w:lang w:val="en-NZ"/>
        </w:rPr>
        <w:t>, KPMG</w:t>
      </w:r>
      <w:r>
        <w:rPr>
          <w:lang w:val="en-NZ"/>
        </w:rPr>
        <w:t>)</w:t>
      </w:r>
    </w:p>
    <w:p w:rsidR="00D95FF8" w:rsidRPr="00DB4CC5" w:rsidRDefault="00D95FF8" w:rsidP="00D95FF8">
      <w:pPr>
        <w:tabs>
          <w:tab w:val="left" w:pos="5295"/>
        </w:tabs>
        <w:rPr>
          <w:lang w:val="en-NZ"/>
        </w:rPr>
      </w:pPr>
    </w:p>
    <w:p w:rsidR="00D95FF8" w:rsidRDefault="005316E3" w:rsidP="00D95FF8">
      <w:pPr>
        <w:rPr>
          <w:lang w:val="en-NZ"/>
        </w:rPr>
      </w:pPr>
      <w:r>
        <w:rPr>
          <w:lang w:val="en-NZ"/>
        </w:rPr>
        <w:t>Lifestyle blocks should be eligible for the farming exclusion</w:t>
      </w:r>
      <w:r w:rsidR="00F16E3E">
        <w:rPr>
          <w:lang w:val="en-NZ"/>
        </w:rPr>
        <w:t>.  T</w:t>
      </w:r>
      <w:r>
        <w:rPr>
          <w:lang w:val="en-NZ"/>
        </w:rPr>
        <w:t xml:space="preserve">his is consistent with the current taxing </w:t>
      </w:r>
      <w:r w:rsidR="00FD2863">
        <w:rPr>
          <w:lang w:val="en-NZ"/>
        </w:rPr>
        <w:t>rules which treat</w:t>
      </w:r>
      <w:r>
        <w:rPr>
          <w:lang w:val="en-NZ"/>
        </w:rPr>
        <w:t xml:space="preserve"> small farm ventures as businesses.</w:t>
      </w:r>
      <w:r w:rsidR="00B95617">
        <w:rPr>
          <w:lang w:val="en-NZ"/>
        </w:rPr>
        <w:t xml:space="preserve"> </w:t>
      </w:r>
      <w:r w:rsidR="00B95617" w:rsidRPr="009B557D">
        <w:rPr>
          <w:i/>
          <w:lang w:val="en-NZ"/>
        </w:rPr>
        <w:t>(</w:t>
      </w:r>
      <w:r w:rsidR="001A1F0E" w:rsidRPr="009B557D">
        <w:rPr>
          <w:i/>
          <w:lang w:val="en-NZ"/>
        </w:rPr>
        <w:t>Chartered Accountants Australia and New Zealand</w:t>
      </w:r>
      <w:r w:rsidR="00B95617" w:rsidRPr="009B557D">
        <w:rPr>
          <w:i/>
          <w:lang w:val="en-NZ"/>
        </w:rPr>
        <w:t>)</w:t>
      </w:r>
    </w:p>
    <w:p w:rsidR="00B95617" w:rsidRDefault="00B95617" w:rsidP="00D95FF8">
      <w:pPr>
        <w:rPr>
          <w:lang w:val="en-NZ"/>
        </w:rPr>
      </w:pPr>
    </w:p>
    <w:p w:rsidR="00B95617" w:rsidRDefault="00B95617" w:rsidP="00D95FF8">
      <w:pPr>
        <w:rPr>
          <w:lang w:val="en-NZ"/>
        </w:rPr>
      </w:pPr>
      <w:r>
        <w:rPr>
          <w:lang w:val="en-NZ"/>
        </w:rPr>
        <w:t>The proposed definition of farmland is not appropriate for the bright-line test</w:t>
      </w:r>
      <w:r w:rsidR="00F16E3E">
        <w:rPr>
          <w:lang w:val="en-NZ"/>
        </w:rPr>
        <w:t>.  T</w:t>
      </w:r>
      <w:r>
        <w:rPr>
          <w:lang w:val="en-NZ"/>
        </w:rPr>
        <w:t>he current definition is uncertain and many farms currently would not earn sufficient income to meet the test</w:t>
      </w:r>
      <w:r w:rsidR="00F16E3E">
        <w:rPr>
          <w:lang w:val="en-NZ"/>
        </w:rPr>
        <w:t>.  I</w:t>
      </w:r>
      <w:r>
        <w:rPr>
          <w:lang w:val="en-NZ"/>
        </w:rPr>
        <w:t xml:space="preserve">f officials’ main concern is to exclude hobby farms and lifestyle blocks, then it should be defined by reference to that rather than using this definition. </w:t>
      </w:r>
      <w:r w:rsidRPr="009B557D">
        <w:rPr>
          <w:i/>
          <w:lang w:val="en-NZ"/>
        </w:rPr>
        <w:t>(</w:t>
      </w:r>
      <w:r w:rsidR="001A1F0E" w:rsidRPr="009B557D">
        <w:rPr>
          <w:i/>
          <w:lang w:val="en-NZ"/>
        </w:rPr>
        <w:t>New Zealand Law Society</w:t>
      </w:r>
      <w:r w:rsidRPr="009B557D">
        <w:rPr>
          <w:i/>
          <w:lang w:val="en-NZ"/>
        </w:rPr>
        <w:t>)</w:t>
      </w:r>
    </w:p>
    <w:p w:rsidR="00B95617" w:rsidRDefault="00B95617" w:rsidP="00D95FF8">
      <w:pPr>
        <w:rPr>
          <w:lang w:val="en-NZ"/>
        </w:rPr>
      </w:pPr>
    </w:p>
    <w:p w:rsidR="00B95617" w:rsidRDefault="00503F38" w:rsidP="00D95FF8">
      <w:pPr>
        <w:rPr>
          <w:lang w:val="en-NZ"/>
        </w:rPr>
      </w:pPr>
      <w:r>
        <w:rPr>
          <w:lang w:val="en-NZ"/>
        </w:rPr>
        <w:t xml:space="preserve">If the current definition of farmland is retained, there should be further guidance provided in the </w:t>
      </w:r>
      <w:r w:rsidRPr="00AF6FF5">
        <w:rPr>
          <w:i/>
          <w:lang w:val="en-NZ"/>
        </w:rPr>
        <w:t>Tax Information Bulletin</w:t>
      </w:r>
      <w:r>
        <w:rPr>
          <w:lang w:val="en-NZ"/>
        </w:rPr>
        <w:t>.</w:t>
      </w:r>
      <w:r w:rsidR="00B95617">
        <w:rPr>
          <w:lang w:val="en-NZ"/>
        </w:rPr>
        <w:t xml:space="preserve"> </w:t>
      </w:r>
      <w:r w:rsidR="00B95617" w:rsidRPr="009B557D">
        <w:rPr>
          <w:i/>
          <w:lang w:val="en-NZ"/>
        </w:rPr>
        <w:t>(</w:t>
      </w:r>
      <w:r w:rsidR="001A1F0E" w:rsidRPr="009B557D">
        <w:rPr>
          <w:i/>
          <w:lang w:val="en-NZ"/>
        </w:rPr>
        <w:t>New Zealand Law Society</w:t>
      </w:r>
      <w:r w:rsidR="00B95617" w:rsidRPr="009B557D">
        <w:rPr>
          <w:i/>
          <w:lang w:val="en-NZ"/>
        </w:rPr>
        <w:t>)</w:t>
      </w:r>
    </w:p>
    <w:p w:rsidR="00682584" w:rsidRDefault="00682584" w:rsidP="00D95FF8">
      <w:pPr>
        <w:rPr>
          <w:lang w:val="en-NZ"/>
        </w:rPr>
      </w:pPr>
    </w:p>
    <w:p w:rsidR="00682584" w:rsidRPr="00DB4CC5" w:rsidRDefault="00682584" w:rsidP="00D95FF8">
      <w:pPr>
        <w:rPr>
          <w:lang w:val="en-NZ"/>
        </w:rPr>
      </w:pPr>
      <w:r>
        <w:rPr>
          <w:lang w:val="en-NZ"/>
        </w:rPr>
        <w:t>In practice this may be a difficult test for many farms as they may not, initially at least, provide a return sufficient to cover all of the costs</w:t>
      </w:r>
      <w:r w:rsidR="00F16E3E">
        <w:rPr>
          <w:lang w:val="en-NZ"/>
        </w:rPr>
        <w:t>.  T</w:t>
      </w:r>
      <w:r>
        <w:rPr>
          <w:lang w:val="en-NZ"/>
        </w:rPr>
        <w:t>o prevent confusion, farmland should be defined simply as “land that is capable of being worked on as a farming or agricultural business”.</w:t>
      </w:r>
      <w:r w:rsidR="00F636AD">
        <w:rPr>
          <w:lang w:val="en-NZ"/>
        </w:rPr>
        <w:t xml:space="preserve"> </w:t>
      </w:r>
      <w:r w:rsidR="003C3578" w:rsidRPr="009B557D">
        <w:rPr>
          <w:i/>
          <w:lang w:val="en-NZ"/>
        </w:rPr>
        <w:t>(KPMG)</w:t>
      </w:r>
    </w:p>
    <w:p w:rsidR="00D95FF8" w:rsidRPr="00DB4CC5" w:rsidRDefault="00D95FF8" w:rsidP="00D95FF8">
      <w:pPr>
        <w:rPr>
          <w:lang w:val="en-NZ"/>
        </w:rPr>
      </w:pPr>
    </w:p>
    <w:p w:rsidR="00D95FF8" w:rsidRPr="00DB4CC5" w:rsidRDefault="00D95FF8" w:rsidP="00D95FF8">
      <w:pPr>
        <w:pStyle w:val="Heading2"/>
        <w:rPr>
          <w:lang w:val="en-NZ"/>
        </w:rPr>
      </w:pPr>
      <w:r w:rsidRPr="00DB4CC5">
        <w:rPr>
          <w:lang w:val="en-NZ"/>
        </w:rPr>
        <w:t>Comment</w:t>
      </w:r>
    </w:p>
    <w:p w:rsidR="00D95FF8" w:rsidRPr="00DB4CC5" w:rsidRDefault="00D95FF8" w:rsidP="00D95FF8">
      <w:pPr>
        <w:rPr>
          <w:lang w:val="en-NZ"/>
        </w:rPr>
      </w:pPr>
    </w:p>
    <w:p w:rsidR="00565E35" w:rsidRDefault="00565E35" w:rsidP="00D95FF8">
      <w:pPr>
        <w:rPr>
          <w:lang w:val="en-NZ"/>
        </w:rPr>
      </w:pPr>
      <w:r>
        <w:rPr>
          <w:lang w:val="en-NZ"/>
        </w:rPr>
        <w:t>Genuine farming business</w:t>
      </w:r>
      <w:r w:rsidR="001D49FE">
        <w:rPr>
          <w:lang w:val="en-NZ"/>
        </w:rPr>
        <w:t>es</w:t>
      </w:r>
      <w:r>
        <w:rPr>
          <w:lang w:val="en-NZ"/>
        </w:rPr>
        <w:t xml:space="preserve"> should be able to utilise the </w:t>
      </w:r>
      <w:r w:rsidR="00E17BEB">
        <w:rPr>
          <w:lang w:val="en-NZ"/>
        </w:rPr>
        <w:t>farmland</w:t>
      </w:r>
      <w:r>
        <w:rPr>
          <w:lang w:val="en-NZ"/>
        </w:rPr>
        <w:t xml:space="preserve"> exception even if they may have had a few bad years.</w:t>
      </w:r>
    </w:p>
    <w:p w:rsidR="00565E35" w:rsidRDefault="00565E35" w:rsidP="00D95FF8">
      <w:pPr>
        <w:rPr>
          <w:lang w:val="en-NZ"/>
        </w:rPr>
      </w:pPr>
    </w:p>
    <w:p w:rsidR="00503F38" w:rsidRDefault="00B8363B" w:rsidP="00D95FF8">
      <w:pPr>
        <w:rPr>
          <w:lang w:val="en-NZ"/>
        </w:rPr>
      </w:pPr>
      <w:r>
        <w:rPr>
          <w:lang w:val="en-NZ"/>
        </w:rPr>
        <w:t>W</w:t>
      </w:r>
      <w:r w:rsidR="003C3578">
        <w:rPr>
          <w:lang w:val="en-NZ"/>
        </w:rPr>
        <w:t xml:space="preserve">e consider that farmland could be defined more simply by removing the concept of an economic unit and instead defining it as </w:t>
      </w:r>
      <w:r w:rsidR="00787052">
        <w:rPr>
          <w:lang w:val="en-NZ"/>
        </w:rPr>
        <w:t>“</w:t>
      </w:r>
      <w:r w:rsidR="003C3578">
        <w:rPr>
          <w:lang w:val="en-NZ"/>
        </w:rPr>
        <w:t>land that is capable of being worked on as a farming or agricultural business</w:t>
      </w:r>
      <w:r w:rsidR="00787052">
        <w:rPr>
          <w:lang w:val="en-NZ"/>
        </w:rPr>
        <w:t>”</w:t>
      </w:r>
      <w:r w:rsidR="003C3578">
        <w:rPr>
          <w:lang w:val="en-NZ"/>
        </w:rPr>
        <w:t>.</w:t>
      </w:r>
    </w:p>
    <w:p w:rsidR="0074213D" w:rsidRDefault="0074213D" w:rsidP="00D95FF8">
      <w:pPr>
        <w:rPr>
          <w:lang w:val="en-NZ"/>
        </w:rPr>
      </w:pPr>
    </w:p>
    <w:p w:rsidR="0074213D" w:rsidRDefault="0074213D" w:rsidP="00D95FF8">
      <w:pPr>
        <w:rPr>
          <w:lang w:val="en-NZ"/>
        </w:rPr>
      </w:pPr>
      <w:r>
        <w:rPr>
          <w:lang w:val="en-NZ"/>
        </w:rPr>
        <w:t xml:space="preserve">We also consider that </w:t>
      </w:r>
      <w:r w:rsidR="00C669E0">
        <w:rPr>
          <w:lang w:val="en-NZ"/>
        </w:rPr>
        <w:t xml:space="preserve">the definition of farmland should be amended to </w:t>
      </w:r>
      <w:r w:rsidR="005669BA">
        <w:rPr>
          <w:lang w:val="en-NZ"/>
        </w:rPr>
        <w:t>ensure</w:t>
      </w:r>
      <w:r w:rsidR="00C669E0">
        <w:rPr>
          <w:lang w:val="en-NZ"/>
        </w:rPr>
        <w:t xml:space="preserve"> that the exception is available whe</w:t>
      </w:r>
      <w:r w:rsidR="00787052">
        <w:rPr>
          <w:lang w:val="en-NZ"/>
        </w:rPr>
        <w:t>n</w:t>
      </w:r>
      <w:r w:rsidR="00C669E0">
        <w:rPr>
          <w:lang w:val="en-NZ"/>
        </w:rPr>
        <w:t xml:space="preserve"> a person may be running a farming business on several plots of land, </w:t>
      </w:r>
      <w:r w:rsidR="00787052">
        <w:rPr>
          <w:lang w:val="en-NZ"/>
        </w:rPr>
        <w:t>but</w:t>
      </w:r>
      <w:r w:rsidR="00C669E0">
        <w:rPr>
          <w:lang w:val="en-NZ"/>
        </w:rPr>
        <w:t xml:space="preserve"> the individual plot of land they own is not of itself capable of being used for a farming business.</w:t>
      </w:r>
    </w:p>
    <w:p w:rsidR="0074213D" w:rsidRDefault="0074213D" w:rsidP="00D95FF8">
      <w:pPr>
        <w:rPr>
          <w:lang w:val="en-NZ"/>
        </w:rPr>
      </w:pPr>
    </w:p>
    <w:p w:rsidR="0074213D" w:rsidRDefault="00BA4BA6" w:rsidP="00D95FF8">
      <w:pPr>
        <w:rPr>
          <w:lang w:val="en-NZ"/>
        </w:rPr>
      </w:pPr>
      <w:r>
        <w:rPr>
          <w:lang w:val="en-NZ"/>
        </w:rPr>
        <w:t>This situation could arise in the following example</w:t>
      </w:r>
      <w:r w:rsidR="00F16E3E">
        <w:rPr>
          <w:lang w:val="en-NZ"/>
        </w:rPr>
        <w:t>.  A</w:t>
      </w:r>
      <w:r>
        <w:rPr>
          <w:lang w:val="en-NZ"/>
        </w:rPr>
        <w:t xml:space="preserve"> farmer owns a small plot of land that they run a farm on</w:t>
      </w:r>
      <w:r w:rsidR="00F16E3E">
        <w:rPr>
          <w:lang w:val="en-NZ"/>
        </w:rPr>
        <w:t>.  T</w:t>
      </w:r>
      <w:r>
        <w:rPr>
          <w:lang w:val="en-NZ"/>
        </w:rPr>
        <w:t xml:space="preserve">he plot of land by itself is too small to be capable of being worked on as a farming business. </w:t>
      </w:r>
      <w:r w:rsidR="0074213D">
        <w:rPr>
          <w:lang w:val="en-NZ"/>
        </w:rPr>
        <w:t xml:space="preserve"> </w:t>
      </w:r>
      <w:r>
        <w:rPr>
          <w:lang w:val="en-NZ"/>
        </w:rPr>
        <w:t>However, the farm</w:t>
      </w:r>
      <w:r w:rsidR="005669BA">
        <w:rPr>
          <w:lang w:val="en-NZ"/>
        </w:rPr>
        <w:t>er</w:t>
      </w:r>
      <w:r>
        <w:rPr>
          <w:lang w:val="en-NZ"/>
        </w:rPr>
        <w:t xml:space="preserve"> is able to run a </w:t>
      </w:r>
      <w:r w:rsidR="005669BA">
        <w:rPr>
          <w:lang w:val="en-NZ"/>
        </w:rPr>
        <w:t>successful</w:t>
      </w:r>
      <w:r>
        <w:rPr>
          <w:lang w:val="en-NZ"/>
        </w:rPr>
        <w:t xml:space="preserve"> farming business on the land because the farmer’s neighbours allow the farmer to </w:t>
      </w:r>
      <w:r w:rsidR="00787052">
        <w:rPr>
          <w:lang w:val="en-NZ"/>
        </w:rPr>
        <w:t>use</w:t>
      </w:r>
      <w:r>
        <w:rPr>
          <w:lang w:val="en-NZ"/>
        </w:rPr>
        <w:t xml:space="preserve"> their land for the business.</w:t>
      </w:r>
    </w:p>
    <w:p w:rsidR="00BA4BA6" w:rsidRDefault="00BA4BA6" w:rsidP="00D95FF8">
      <w:pPr>
        <w:rPr>
          <w:lang w:val="en-NZ"/>
        </w:rPr>
      </w:pPr>
    </w:p>
    <w:p w:rsidR="00BA4BA6" w:rsidRDefault="00BA4BA6" w:rsidP="00D95FF8">
      <w:pPr>
        <w:rPr>
          <w:lang w:val="en-NZ"/>
        </w:rPr>
      </w:pPr>
      <w:r>
        <w:rPr>
          <w:lang w:val="en-NZ"/>
        </w:rPr>
        <w:t xml:space="preserve">This farmer would not be able to use the current farming exclusion because the land they own is not capable of being </w:t>
      </w:r>
      <w:r w:rsidR="005669BA">
        <w:rPr>
          <w:lang w:val="en-NZ"/>
        </w:rPr>
        <w:t>worked on as a farming business even though they are actually running a successful farming business on it.</w:t>
      </w:r>
    </w:p>
    <w:p w:rsidR="0074213D" w:rsidRDefault="0074213D" w:rsidP="00D95FF8">
      <w:pPr>
        <w:rPr>
          <w:lang w:val="en-NZ"/>
        </w:rPr>
      </w:pPr>
    </w:p>
    <w:p w:rsidR="0074213D" w:rsidRPr="00DB4CC5" w:rsidRDefault="0074213D" w:rsidP="00D95FF8">
      <w:pPr>
        <w:rPr>
          <w:lang w:val="en-NZ"/>
        </w:rPr>
      </w:pPr>
      <w:r>
        <w:rPr>
          <w:lang w:val="en-NZ"/>
        </w:rPr>
        <w:t>To resolve this we consider that the farmland exclusion be available where the owner of</w:t>
      </w:r>
      <w:r w:rsidR="00BA4BA6">
        <w:rPr>
          <w:lang w:val="en-NZ"/>
        </w:rPr>
        <w:t xml:space="preserve"> the</w:t>
      </w:r>
      <w:r>
        <w:rPr>
          <w:lang w:val="en-NZ"/>
        </w:rPr>
        <w:t xml:space="preserve"> land uses the land for a farming business.</w:t>
      </w:r>
    </w:p>
    <w:p w:rsidR="00D95FF8" w:rsidRPr="00DB4CC5" w:rsidRDefault="00D95FF8" w:rsidP="00D95FF8">
      <w:pPr>
        <w:rPr>
          <w:lang w:val="en-NZ"/>
        </w:rPr>
      </w:pPr>
    </w:p>
    <w:p w:rsidR="00D95FF8" w:rsidRPr="00DB4CC5" w:rsidRDefault="00D95FF8" w:rsidP="00D95FF8">
      <w:pPr>
        <w:pStyle w:val="Heading2"/>
        <w:rPr>
          <w:lang w:val="en-NZ"/>
        </w:rPr>
      </w:pPr>
      <w:r w:rsidRPr="00DB4CC5">
        <w:rPr>
          <w:lang w:val="en-NZ"/>
        </w:rPr>
        <w:t>Recommendation</w:t>
      </w:r>
    </w:p>
    <w:p w:rsidR="00D95FF8" w:rsidRPr="00DB4CC5" w:rsidRDefault="00D95FF8" w:rsidP="00D95FF8">
      <w:pPr>
        <w:rPr>
          <w:lang w:val="en-NZ"/>
        </w:rPr>
      </w:pPr>
    </w:p>
    <w:p w:rsidR="00D95FF8" w:rsidRPr="00DB4CC5" w:rsidRDefault="00D95FF8" w:rsidP="00D95FF8">
      <w:pPr>
        <w:rPr>
          <w:lang w:val="en-NZ"/>
        </w:rPr>
      </w:pPr>
      <w:r w:rsidRPr="00DB4CC5">
        <w:rPr>
          <w:lang w:val="en-NZ"/>
        </w:rPr>
        <w:t xml:space="preserve">That the submission be </w:t>
      </w:r>
      <w:r w:rsidR="00B8363B">
        <w:rPr>
          <w:lang w:val="en-NZ"/>
        </w:rPr>
        <w:t>accepted</w:t>
      </w:r>
      <w:r w:rsidR="00653689">
        <w:rPr>
          <w:lang w:val="en-NZ"/>
        </w:rPr>
        <w:t>.</w:t>
      </w:r>
    </w:p>
    <w:p w:rsidR="005316E3" w:rsidRPr="00DB4CC5" w:rsidRDefault="005316E3" w:rsidP="005316E3">
      <w:pPr>
        <w:pBdr>
          <w:bottom w:val="single" w:sz="4" w:space="1" w:color="auto"/>
        </w:pBdr>
        <w:rPr>
          <w:lang w:val="en-NZ"/>
        </w:rPr>
      </w:pPr>
    </w:p>
    <w:p w:rsidR="005316E3" w:rsidRDefault="005316E3" w:rsidP="005316E3">
      <w:pPr>
        <w:rPr>
          <w:lang w:val="en-NZ"/>
        </w:rPr>
      </w:pPr>
    </w:p>
    <w:p w:rsidR="007E7996" w:rsidRPr="00DB4CC5" w:rsidRDefault="007E7996" w:rsidP="005316E3">
      <w:pPr>
        <w:rPr>
          <w:lang w:val="en-NZ"/>
        </w:rPr>
      </w:pPr>
    </w:p>
    <w:p w:rsidR="005316E3" w:rsidRPr="00DB4CC5" w:rsidRDefault="005316E3" w:rsidP="005316E3">
      <w:pPr>
        <w:pStyle w:val="Heading5"/>
        <w:ind w:left="794" w:hanging="794"/>
        <w:rPr>
          <w:lang w:val="en-NZ"/>
        </w:rPr>
      </w:pPr>
      <w:bookmarkStart w:id="37" w:name="_Toc432411925"/>
      <w:r w:rsidRPr="00DB4CC5">
        <w:rPr>
          <w:lang w:val="en-NZ"/>
        </w:rPr>
        <w:t>Issue:</w:t>
      </w:r>
      <w:r w:rsidRPr="00DB4CC5">
        <w:rPr>
          <w:lang w:val="en-NZ"/>
        </w:rPr>
        <w:tab/>
      </w:r>
      <w:r>
        <w:rPr>
          <w:lang w:val="en-NZ"/>
        </w:rPr>
        <w:t>Residential leases</w:t>
      </w:r>
      <w:bookmarkEnd w:id="37"/>
    </w:p>
    <w:p w:rsidR="005316E3" w:rsidRPr="00DB4CC5" w:rsidRDefault="005316E3" w:rsidP="005316E3">
      <w:pPr>
        <w:rPr>
          <w:lang w:val="en-NZ"/>
        </w:rPr>
      </w:pPr>
    </w:p>
    <w:p w:rsidR="005316E3" w:rsidRPr="00DB4CC5" w:rsidRDefault="005316E3" w:rsidP="005316E3">
      <w:pPr>
        <w:rPr>
          <w:lang w:val="en-NZ"/>
        </w:rPr>
      </w:pPr>
    </w:p>
    <w:p w:rsidR="005316E3" w:rsidRPr="00DB4CC5" w:rsidRDefault="005316E3" w:rsidP="005316E3">
      <w:pPr>
        <w:pStyle w:val="Heading2"/>
        <w:rPr>
          <w:lang w:val="en-NZ"/>
        </w:rPr>
      </w:pPr>
      <w:r w:rsidRPr="00DB4CC5">
        <w:rPr>
          <w:lang w:val="en-NZ"/>
        </w:rPr>
        <w:t>Submission</w:t>
      </w:r>
    </w:p>
    <w:p w:rsidR="005316E3" w:rsidRPr="00DB4CC5" w:rsidRDefault="005316E3" w:rsidP="005316E3">
      <w:pPr>
        <w:pStyle w:val="Heading4"/>
        <w:rPr>
          <w:lang w:val="en-NZ"/>
        </w:rPr>
      </w:pPr>
      <w:r>
        <w:rPr>
          <w:lang w:val="en-NZ"/>
        </w:rPr>
        <w:t>(Chartered Accountants Australia and New Zealand</w:t>
      </w:r>
      <w:r w:rsidR="00A10303">
        <w:rPr>
          <w:lang w:val="en-NZ"/>
        </w:rPr>
        <w:t>, KPMG</w:t>
      </w:r>
      <w:r>
        <w:rPr>
          <w:lang w:val="en-NZ"/>
        </w:rPr>
        <w:t>)</w:t>
      </w:r>
    </w:p>
    <w:p w:rsidR="005316E3" w:rsidRPr="00DB4CC5" w:rsidRDefault="005316E3" w:rsidP="005316E3">
      <w:pPr>
        <w:tabs>
          <w:tab w:val="left" w:pos="5295"/>
        </w:tabs>
        <w:rPr>
          <w:lang w:val="en-NZ"/>
        </w:rPr>
      </w:pPr>
    </w:p>
    <w:p w:rsidR="005316E3" w:rsidRDefault="005316E3" w:rsidP="005316E3">
      <w:pPr>
        <w:rPr>
          <w:lang w:val="en-NZ"/>
        </w:rPr>
      </w:pPr>
      <w:r>
        <w:rPr>
          <w:lang w:val="en-NZ"/>
        </w:rPr>
        <w:t>It appears that the bright-line could apply on the ter</w:t>
      </w:r>
      <w:r w:rsidR="00A10303">
        <w:rPr>
          <w:lang w:val="en-NZ"/>
        </w:rPr>
        <w:t>mination</w:t>
      </w:r>
      <w:r w:rsidR="00A052E5">
        <w:rPr>
          <w:lang w:val="en-NZ"/>
        </w:rPr>
        <w:t xml:space="preserve"> (</w:t>
      </w:r>
      <w:r w:rsidR="00787052">
        <w:rPr>
          <w:lang w:val="en-NZ"/>
        </w:rPr>
        <w:t>that is</w:t>
      </w:r>
      <w:r w:rsidR="00A052E5">
        <w:rPr>
          <w:lang w:val="en-NZ"/>
        </w:rPr>
        <w:t xml:space="preserve"> expiry)</w:t>
      </w:r>
      <w:r w:rsidR="00A10303">
        <w:rPr>
          <w:lang w:val="en-NZ"/>
        </w:rPr>
        <w:t xml:space="preserve"> of a short-term lease</w:t>
      </w:r>
      <w:r w:rsidR="00CD4A5D">
        <w:rPr>
          <w:lang w:val="en-NZ"/>
        </w:rPr>
        <w:t>.</w:t>
      </w:r>
    </w:p>
    <w:p w:rsidR="00CD4A5D" w:rsidRDefault="00CD4A5D" w:rsidP="005316E3">
      <w:pPr>
        <w:rPr>
          <w:lang w:val="en-NZ"/>
        </w:rPr>
      </w:pPr>
    </w:p>
    <w:p w:rsidR="00CD4A5D" w:rsidRPr="00CD4A5D" w:rsidRDefault="00CD4A5D" w:rsidP="005316E3">
      <w:pPr>
        <w:rPr>
          <w:lang w:val="en-NZ"/>
        </w:rPr>
      </w:pPr>
      <w:r>
        <w:rPr>
          <w:lang w:val="en-NZ"/>
        </w:rPr>
        <w:t xml:space="preserve">The Commissioner’s draft statement </w:t>
      </w:r>
      <w:r w:rsidRPr="00CD4A5D">
        <w:rPr>
          <w:i/>
          <w:lang w:val="en-NZ"/>
        </w:rPr>
        <w:t>(PUB0219: Income Tax – Whether the cost of acquiring an option is part of the cost of acquiring revenue account land)</w:t>
      </w:r>
      <w:r>
        <w:rPr>
          <w:lang w:val="en-NZ"/>
        </w:rPr>
        <w:t xml:space="preserve"> states that the termination of an option over land is a disposal of that interest in land for the purposes of the land rule</w:t>
      </w:r>
      <w:r w:rsidR="00F16E3E">
        <w:rPr>
          <w:lang w:val="en-NZ"/>
        </w:rPr>
        <w:t>.  T</w:t>
      </w:r>
      <w:r>
        <w:rPr>
          <w:lang w:val="en-NZ"/>
        </w:rPr>
        <w:t>he logical consequence of this position is that the termination of a lease is a disposal of an interest in land.</w:t>
      </w:r>
    </w:p>
    <w:p w:rsidR="005316E3" w:rsidRDefault="005316E3" w:rsidP="005316E3">
      <w:pPr>
        <w:rPr>
          <w:lang w:val="en-NZ"/>
        </w:rPr>
      </w:pPr>
    </w:p>
    <w:p w:rsidR="005316E3" w:rsidRDefault="005316E3" w:rsidP="005316E3">
      <w:pPr>
        <w:rPr>
          <w:lang w:val="en-NZ"/>
        </w:rPr>
      </w:pPr>
      <w:r>
        <w:rPr>
          <w:lang w:val="en-NZ"/>
        </w:rPr>
        <w:t>A specific exclusion is required in the legislation to ensure that the bright-line test does not apply on the disposal or termination of a lease of residential land.</w:t>
      </w:r>
    </w:p>
    <w:p w:rsidR="005316E3" w:rsidRPr="00DB4CC5" w:rsidRDefault="005316E3" w:rsidP="005316E3">
      <w:pPr>
        <w:rPr>
          <w:lang w:val="en-NZ"/>
        </w:rPr>
      </w:pPr>
    </w:p>
    <w:p w:rsidR="005316E3" w:rsidRPr="00DB4CC5" w:rsidRDefault="005316E3" w:rsidP="005316E3">
      <w:pPr>
        <w:pStyle w:val="Heading2"/>
        <w:rPr>
          <w:lang w:val="en-NZ"/>
        </w:rPr>
      </w:pPr>
      <w:r w:rsidRPr="00DB4CC5">
        <w:rPr>
          <w:lang w:val="en-NZ"/>
        </w:rPr>
        <w:t>Comment</w:t>
      </w:r>
    </w:p>
    <w:p w:rsidR="005316E3" w:rsidRPr="00DB4CC5" w:rsidRDefault="005316E3" w:rsidP="005316E3">
      <w:pPr>
        <w:rPr>
          <w:lang w:val="en-NZ"/>
        </w:rPr>
      </w:pPr>
    </w:p>
    <w:p w:rsidR="003F515B" w:rsidRPr="00DB4CC5" w:rsidRDefault="00CD4A5D" w:rsidP="005316E3">
      <w:pPr>
        <w:rPr>
          <w:lang w:val="en-NZ"/>
        </w:rPr>
      </w:pPr>
      <w:r>
        <w:rPr>
          <w:lang w:val="en-NZ"/>
        </w:rPr>
        <w:t xml:space="preserve">We do not agree that the </w:t>
      </w:r>
      <w:r w:rsidR="00A052E5">
        <w:rPr>
          <w:lang w:val="en-NZ"/>
        </w:rPr>
        <w:t xml:space="preserve">expiry </w:t>
      </w:r>
      <w:r>
        <w:rPr>
          <w:lang w:val="en-NZ"/>
        </w:rPr>
        <w:t>of a lease is a disposal</w:t>
      </w:r>
      <w:r w:rsidR="00A052E5">
        <w:rPr>
          <w:lang w:val="en-NZ"/>
        </w:rPr>
        <w:t xml:space="preserve"> of the lease</w:t>
      </w:r>
      <w:r w:rsidR="00F16E3E">
        <w:rPr>
          <w:lang w:val="en-NZ"/>
        </w:rPr>
        <w:t>.  T</w:t>
      </w:r>
      <w:r>
        <w:rPr>
          <w:lang w:val="en-NZ"/>
        </w:rPr>
        <w:t xml:space="preserve">his was not stated in draft </w:t>
      </w:r>
      <w:r w:rsidRPr="005D15DA">
        <w:rPr>
          <w:i/>
          <w:lang w:val="en-NZ"/>
        </w:rPr>
        <w:t>PUB0219</w:t>
      </w:r>
      <w:r w:rsidR="00F16E3E">
        <w:rPr>
          <w:lang w:val="en-NZ"/>
        </w:rPr>
        <w:t>.  A</w:t>
      </w:r>
      <w:r>
        <w:rPr>
          <w:lang w:val="en-NZ"/>
        </w:rPr>
        <w:t xml:space="preserve">s a result we do not consider the proposed amendment </w:t>
      </w:r>
      <w:r w:rsidR="00BF22E5">
        <w:rPr>
          <w:lang w:val="en-NZ"/>
        </w:rPr>
        <w:t xml:space="preserve">is </w:t>
      </w:r>
      <w:r>
        <w:rPr>
          <w:lang w:val="en-NZ"/>
        </w:rPr>
        <w:t>necessary.</w:t>
      </w:r>
    </w:p>
    <w:p w:rsidR="005316E3" w:rsidRPr="00DB4CC5" w:rsidRDefault="005316E3" w:rsidP="005316E3">
      <w:pPr>
        <w:rPr>
          <w:lang w:val="en-NZ"/>
        </w:rPr>
      </w:pPr>
    </w:p>
    <w:p w:rsidR="005316E3" w:rsidRPr="00DB4CC5" w:rsidRDefault="005316E3" w:rsidP="005316E3">
      <w:pPr>
        <w:pStyle w:val="Heading2"/>
        <w:rPr>
          <w:lang w:val="en-NZ"/>
        </w:rPr>
      </w:pPr>
      <w:r w:rsidRPr="00DB4CC5">
        <w:rPr>
          <w:lang w:val="en-NZ"/>
        </w:rPr>
        <w:t>Recommendation</w:t>
      </w:r>
    </w:p>
    <w:p w:rsidR="005316E3" w:rsidRPr="00DB4CC5" w:rsidRDefault="005316E3" w:rsidP="005316E3">
      <w:pPr>
        <w:rPr>
          <w:lang w:val="en-NZ"/>
        </w:rPr>
      </w:pPr>
    </w:p>
    <w:p w:rsidR="005316E3" w:rsidRPr="00DB4CC5" w:rsidRDefault="005316E3" w:rsidP="005316E3">
      <w:pPr>
        <w:rPr>
          <w:lang w:val="en-NZ"/>
        </w:rPr>
      </w:pPr>
      <w:r w:rsidRPr="00DB4CC5">
        <w:rPr>
          <w:lang w:val="en-NZ"/>
        </w:rPr>
        <w:t xml:space="preserve">That the submission be </w:t>
      </w:r>
      <w:r w:rsidR="00CD4A5D">
        <w:rPr>
          <w:lang w:val="en-NZ"/>
        </w:rPr>
        <w:t>declined.</w:t>
      </w:r>
    </w:p>
    <w:p w:rsidR="00397D7B" w:rsidRPr="00DB4CC5" w:rsidRDefault="00397D7B" w:rsidP="00397D7B">
      <w:pPr>
        <w:pBdr>
          <w:bottom w:val="single" w:sz="4" w:space="1" w:color="auto"/>
        </w:pBdr>
        <w:rPr>
          <w:lang w:val="en-NZ"/>
        </w:rPr>
      </w:pPr>
    </w:p>
    <w:p w:rsidR="00397D7B" w:rsidRDefault="00397D7B" w:rsidP="00397D7B">
      <w:pPr>
        <w:rPr>
          <w:lang w:val="en-NZ"/>
        </w:rPr>
      </w:pPr>
    </w:p>
    <w:p w:rsidR="007E7996" w:rsidRPr="00DB4CC5" w:rsidRDefault="007E7996" w:rsidP="00397D7B">
      <w:pPr>
        <w:rPr>
          <w:lang w:val="en-NZ"/>
        </w:rPr>
      </w:pPr>
    </w:p>
    <w:p w:rsidR="00397D7B" w:rsidRPr="00DB4CC5" w:rsidRDefault="00397D7B" w:rsidP="00397D7B">
      <w:pPr>
        <w:pStyle w:val="Heading5"/>
        <w:ind w:left="794" w:hanging="794"/>
        <w:rPr>
          <w:lang w:val="en-NZ"/>
        </w:rPr>
      </w:pPr>
      <w:bookmarkStart w:id="38" w:name="_Toc432411926"/>
      <w:r w:rsidRPr="00DB4CC5">
        <w:rPr>
          <w:lang w:val="en-NZ"/>
        </w:rPr>
        <w:t>Issue:</w:t>
      </w:r>
      <w:r w:rsidRPr="00DB4CC5">
        <w:rPr>
          <w:lang w:val="en-NZ"/>
        </w:rPr>
        <w:tab/>
      </w:r>
      <w:r w:rsidR="003C3578">
        <w:rPr>
          <w:lang w:val="en-NZ"/>
        </w:rPr>
        <w:t xml:space="preserve">Extent of land that is </w:t>
      </w:r>
      <w:r w:rsidR="00B4783F">
        <w:rPr>
          <w:lang w:val="en-NZ"/>
        </w:rPr>
        <w:t>“</w:t>
      </w:r>
      <w:r w:rsidR="003C3578">
        <w:rPr>
          <w:lang w:val="en-NZ"/>
        </w:rPr>
        <w:t>business premises</w:t>
      </w:r>
      <w:r w:rsidR="00B4783F">
        <w:rPr>
          <w:lang w:val="en-NZ"/>
        </w:rPr>
        <w:t>”</w:t>
      </w:r>
      <w:bookmarkEnd w:id="38"/>
    </w:p>
    <w:p w:rsidR="00397D7B" w:rsidRPr="00DB4CC5" w:rsidRDefault="00397D7B" w:rsidP="00397D7B">
      <w:pPr>
        <w:rPr>
          <w:lang w:val="en-NZ"/>
        </w:rPr>
      </w:pPr>
    </w:p>
    <w:p w:rsidR="00397D7B" w:rsidRPr="00DB4CC5" w:rsidRDefault="00397D7B" w:rsidP="00397D7B">
      <w:pPr>
        <w:rPr>
          <w:lang w:val="en-NZ"/>
        </w:rPr>
      </w:pPr>
    </w:p>
    <w:p w:rsidR="00397D7B" w:rsidRPr="00DB4CC5" w:rsidRDefault="00397D7B" w:rsidP="00397D7B">
      <w:pPr>
        <w:pStyle w:val="Heading2"/>
        <w:rPr>
          <w:lang w:val="en-NZ"/>
        </w:rPr>
      </w:pPr>
      <w:r w:rsidRPr="00DB4CC5">
        <w:rPr>
          <w:lang w:val="en-NZ"/>
        </w:rPr>
        <w:t>Submission</w:t>
      </w:r>
    </w:p>
    <w:p w:rsidR="00397D7B" w:rsidRPr="00DB4CC5" w:rsidRDefault="003C3578" w:rsidP="00397D7B">
      <w:pPr>
        <w:pStyle w:val="Heading4"/>
        <w:rPr>
          <w:lang w:val="en-NZ"/>
        </w:rPr>
      </w:pPr>
      <w:r>
        <w:rPr>
          <w:lang w:val="en-NZ"/>
        </w:rPr>
        <w:t>(EY)</w:t>
      </w:r>
    </w:p>
    <w:p w:rsidR="00397D7B" w:rsidRDefault="00397D7B" w:rsidP="00397D7B">
      <w:pPr>
        <w:tabs>
          <w:tab w:val="left" w:pos="5295"/>
        </w:tabs>
        <w:rPr>
          <w:lang w:val="en-NZ"/>
        </w:rPr>
      </w:pPr>
    </w:p>
    <w:p w:rsidR="00397D7B" w:rsidRDefault="00A27015" w:rsidP="00397D7B">
      <w:pPr>
        <w:tabs>
          <w:tab w:val="left" w:pos="5295"/>
        </w:tabs>
        <w:rPr>
          <w:lang w:val="en-NZ"/>
        </w:rPr>
      </w:pPr>
      <w:r>
        <w:rPr>
          <w:lang w:val="en-NZ"/>
        </w:rPr>
        <w:t>It should be clarified that the reference to business premises is not intended to be restricted to buildings or to buildings and their immediate surrounding land.</w:t>
      </w:r>
    </w:p>
    <w:p w:rsidR="00A74802" w:rsidRDefault="00A74802" w:rsidP="00397D7B">
      <w:pPr>
        <w:tabs>
          <w:tab w:val="left" w:pos="5295"/>
        </w:tabs>
        <w:rPr>
          <w:lang w:val="en-NZ"/>
        </w:rPr>
      </w:pPr>
    </w:p>
    <w:p w:rsidR="00A74802" w:rsidRPr="00DB4CC5" w:rsidRDefault="00A74802" w:rsidP="00397D7B">
      <w:pPr>
        <w:tabs>
          <w:tab w:val="left" w:pos="5295"/>
        </w:tabs>
        <w:rPr>
          <w:lang w:val="en-NZ"/>
        </w:rPr>
      </w:pPr>
      <w:r>
        <w:rPr>
          <w:lang w:val="en-NZ"/>
        </w:rPr>
        <w:t xml:space="preserve">The </w:t>
      </w:r>
      <w:r w:rsidR="000D44C7">
        <w:rPr>
          <w:lang w:val="en-NZ"/>
        </w:rPr>
        <w:t>Commissioner of Inland Revenue’s</w:t>
      </w:r>
      <w:r>
        <w:rPr>
          <w:lang w:val="en-NZ"/>
        </w:rPr>
        <w:t xml:space="preserve"> recent draft item, </w:t>
      </w:r>
      <w:r w:rsidRPr="005D15DA">
        <w:rPr>
          <w:i/>
          <w:lang w:val="en-NZ"/>
        </w:rPr>
        <w:t>PUB00201</w:t>
      </w:r>
      <w:r>
        <w:rPr>
          <w:lang w:val="en-NZ"/>
        </w:rPr>
        <w:t xml:space="preserve"> says that “premises” is difficult to interpret</w:t>
      </w:r>
      <w:r w:rsidR="008701CE">
        <w:rPr>
          <w:lang w:val="en-NZ"/>
        </w:rPr>
        <w:t xml:space="preserve"> and can have different meanings depending on the context.</w:t>
      </w:r>
    </w:p>
    <w:p w:rsidR="00397D7B" w:rsidRPr="00DB4CC5" w:rsidRDefault="00397D7B" w:rsidP="00397D7B">
      <w:pPr>
        <w:rPr>
          <w:lang w:val="en-NZ"/>
        </w:rPr>
      </w:pPr>
    </w:p>
    <w:p w:rsidR="00397D7B" w:rsidRPr="00DB4CC5" w:rsidRDefault="00397D7B" w:rsidP="00397D7B">
      <w:pPr>
        <w:pStyle w:val="Heading2"/>
        <w:rPr>
          <w:lang w:val="en-NZ"/>
        </w:rPr>
      </w:pPr>
      <w:r w:rsidRPr="00DB4CC5">
        <w:rPr>
          <w:lang w:val="en-NZ"/>
        </w:rPr>
        <w:t>Comment</w:t>
      </w:r>
    </w:p>
    <w:p w:rsidR="00397D7B" w:rsidRPr="00DB4CC5" w:rsidRDefault="00397D7B" w:rsidP="00397D7B">
      <w:pPr>
        <w:rPr>
          <w:lang w:val="en-NZ"/>
        </w:rPr>
      </w:pPr>
    </w:p>
    <w:p w:rsidR="00397D7B" w:rsidRDefault="00C12379" w:rsidP="00397D7B">
      <w:pPr>
        <w:rPr>
          <w:lang w:val="en-NZ"/>
        </w:rPr>
      </w:pPr>
      <w:r>
        <w:rPr>
          <w:lang w:val="en-NZ"/>
        </w:rPr>
        <w:t>W</w:t>
      </w:r>
      <w:r w:rsidR="003C3578">
        <w:rPr>
          <w:lang w:val="en-NZ"/>
        </w:rPr>
        <w:t xml:space="preserve">e consider that </w:t>
      </w:r>
      <w:r w:rsidR="00B4783F">
        <w:rPr>
          <w:lang w:val="en-NZ"/>
        </w:rPr>
        <w:t>“</w:t>
      </w:r>
      <w:r w:rsidR="003C3578">
        <w:rPr>
          <w:lang w:val="en-NZ"/>
        </w:rPr>
        <w:t>business premises</w:t>
      </w:r>
      <w:r w:rsidR="00B4783F">
        <w:rPr>
          <w:lang w:val="en-NZ"/>
        </w:rPr>
        <w:t>”</w:t>
      </w:r>
      <w:r w:rsidR="003C3578">
        <w:rPr>
          <w:lang w:val="en-NZ"/>
        </w:rPr>
        <w:t xml:space="preserve"> in the context of the bright-line would include land, buildings, appurtenances, and parts of lands or buildings for use in the carrying on of a business</w:t>
      </w:r>
      <w:r w:rsidR="00F16E3E">
        <w:rPr>
          <w:lang w:val="en-NZ"/>
        </w:rPr>
        <w:t>.  T</w:t>
      </w:r>
      <w:r>
        <w:rPr>
          <w:lang w:val="en-NZ"/>
        </w:rPr>
        <w:t>his is simi</w:t>
      </w:r>
      <w:r w:rsidR="009A583E">
        <w:rPr>
          <w:lang w:val="en-NZ"/>
        </w:rPr>
        <w:t xml:space="preserve">lar to what was concluded in </w:t>
      </w:r>
      <w:r w:rsidR="009A583E" w:rsidRPr="005D15DA">
        <w:rPr>
          <w:i/>
          <w:lang w:val="en-NZ"/>
        </w:rPr>
        <w:t>PUB</w:t>
      </w:r>
      <w:r w:rsidRPr="005D15DA">
        <w:rPr>
          <w:i/>
          <w:lang w:val="en-NZ"/>
        </w:rPr>
        <w:t>00201</w:t>
      </w:r>
      <w:r>
        <w:rPr>
          <w:lang w:val="en-NZ"/>
        </w:rPr>
        <w:t>.</w:t>
      </w:r>
    </w:p>
    <w:p w:rsidR="003C3578" w:rsidRDefault="003C3578" w:rsidP="00397D7B">
      <w:pPr>
        <w:rPr>
          <w:lang w:val="en-NZ"/>
        </w:rPr>
      </w:pPr>
    </w:p>
    <w:p w:rsidR="003C3578" w:rsidRPr="00DB4CC5" w:rsidRDefault="003C3578" w:rsidP="00397D7B">
      <w:pPr>
        <w:rPr>
          <w:lang w:val="en-NZ"/>
        </w:rPr>
      </w:pPr>
      <w:r>
        <w:rPr>
          <w:lang w:val="en-NZ"/>
        </w:rPr>
        <w:t>We do</w:t>
      </w:r>
      <w:r w:rsidR="003A4AE1">
        <w:rPr>
          <w:lang w:val="en-NZ"/>
        </w:rPr>
        <w:t xml:space="preserve"> not consider further detail</w:t>
      </w:r>
      <w:r>
        <w:rPr>
          <w:lang w:val="en-NZ"/>
        </w:rPr>
        <w:t xml:space="preserve"> in defining </w:t>
      </w:r>
      <w:r w:rsidR="003A4AE1">
        <w:rPr>
          <w:lang w:val="en-NZ"/>
        </w:rPr>
        <w:t>a business premises is</w:t>
      </w:r>
      <w:r>
        <w:rPr>
          <w:lang w:val="en-NZ"/>
        </w:rPr>
        <w:t xml:space="preserve"> necessary or desirable given that it is meant to be</w:t>
      </w:r>
      <w:r w:rsidRPr="003C3578">
        <w:rPr>
          <w:lang w:val="en-NZ"/>
        </w:rPr>
        <w:t xml:space="preserve"> </w:t>
      </w:r>
      <w:r>
        <w:rPr>
          <w:lang w:val="en-NZ"/>
        </w:rPr>
        <w:t xml:space="preserve">applied in a wide range of circumstances and </w:t>
      </w:r>
      <w:r w:rsidR="003A4AE1">
        <w:rPr>
          <w:lang w:val="en-NZ"/>
        </w:rPr>
        <w:t>is intended to have its ordinary meaning.</w:t>
      </w:r>
    </w:p>
    <w:p w:rsidR="00397D7B" w:rsidRPr="00DB4CC5" w:rsidRDefault="00397D7B" w:rsidP="00397D7B">
      <w:pPr>
        <w:rPr>
          <w:lang w:val="en-NZ"/>
        </w:rPr>
      </w:pPr>
    </w:p>
    <w:p w:rsidR="00397D7B" w:rsidRPr="00DB4CC5" w:rsidRDefault="00397D7B" w:rsidP="00397D7B">
      <w:pPr>
        <w:pStyle w:val="Heading2"/>
        <w:rPr>
          <w:lang w:val="en-NZ"/>
        </w:rPr>
      </w:pPr>
      <w:r w:rsidRPr="00DB4CC5">
        <w:rPr>
          <w:lang w:val="en-NZ"/>
        </w:rPr>
        <w:t>Recommendation</w:t>
      </w:r>
    </w:p>
    <w:p w:rsidR="00397D7B" w:rsidRPr="00DB4CC5" w:rsidRDefault="00397D7B" w:rsidP="00397D7B">
      <w:pPr>
        <w:rPr>
          <w:lang w:val="en-NZ"/>
        </w:rPr>
      </w:pPr>
    </w:p>
    <w:p w:rsidR="00397D7B" w:rsidRPr="00DB4CC5" w:rsidRDefault="00397D7B" w:rsidP="00397D7B">
      <w:pPr>
        <w:rPr>
          <w:lang w:val="en-NZ"/>
        </w:rPr>
      </w:pPr>
      <w:r w:rsidRPr="00DB4CC5">
        <w:rPr>
          <w:lang w:val="en-NZ"/>
        </w:rPr>
        <w:t xml:space="preserve">That the submission be </w:t>
      </w:r>
      <w:r w:rsidR="003C3578">
        <w:rPr>
          <w:lang w:val="en-NZ"/>
        </w:rPr>
        <w:t>declined.</w:t>
      </w:r>
    </w:p>
    <w:p w:rsidR="00A27015" w:rsidRPr="00DB4CC5" w:rsidRDefault="00A27015" w:rsidP="00A27015">
      <w:pPr>
        <w:pBdr>
          <w:bottom w:val="single" w:sz="4" w:space="1" w:color="auto"/>
        </w:pBdr>
        <w:rPr>
          <w:lang w:val="en-NZ"/>
        </w:rPr>
      </w:pPr>
    </w:p>
    <w:p w:rsidR="00A27015" w:rsidRDefault="00A27015" w:rsidP="00A27015">
      <w:pPr>
        <w:rPr>
          <w:lang w:val="en-NZ"/>
        </w:rPr>
      </w:pPr>
    </w:p>
    <w:p w:rsidR="0065103F" w:rsidRDefault="0065103F">
      <w:pPr>
        <w:jc w:val="left"/>
        <w:rPr>
          <w:b/>
          <w:sz w:val="26"/>
          <w:lang w:val="en-NZ"/>
        </w:rPr>
      </w:pPr>
      <w:r>
        <w:rPr>
          <w:lang w:val="en-NZ"/>
        </w:rPr>
        <w:br w:type="page"/>
      </w:r>
    </w:p>
    <w:p w:rsidR="00A27015" w:rsidRPr="00DB4CC5" w:rsidRDefault="00A27015" w:rsidP="00A27015">
      <w:pPr>
        <w:pStyle w:val="Heading5"/>
        <w:ind w:left="794" w:hanging="794"/>
        <w:rPr>
          <w:lang w:val="en-NZ"/>
        </w:rPr>
      </w:pPr>
      <w:bookmarkStart w:id="39" w:name="_Toc432411927"/>
      <w:r w:rsidRPr="00DB4CC5">
        <w:rPr>
          <w:lang w:val="en-NZ"/>
        </w:rPr>
        <w:t>Issue:</w:t>
      </w:r>
      <w:r w:rsidRPr="00DB4CC5">
        <w:rPr>
          <w:lang w:val="en-NZ"/>
        </w:rPr>
        <w:tab/>
      </w:r>
      <w:r w:rsidR="00A74802">
        <w:rPr>
          <w:lang w:val="en-NZ"/>
        </w:rPr>
        <w:t xml:space="preserve">Use of business premises </w:t>
      </w:r>
      <w:r w:rsidR="005E17DC">
        <w:rPr>
          <w:lang w:val="en-NZ"/>
        </w:rPr>
        <w:t>or farmland by transferor</w:t>
      </w:r>
      <w:bookmarkEnd w:id="39"/>
    </w:p>
    <w:p w:rsidR="00A27015" w:rsidRPr="00DB4CC5" w:rsidRDefault="00A27015" w:rsidP="00A27015">
      <w:pPr>
        <w:rPr>
          <w:lang w:val="en-NZ"/>
        </w:rPr>
      </w:pPr>
    </w:p>
    <w:p w:rsidR="00A27015" w:rsidRPr="00DB4CC5" w:rsidRDefault="00A27015" w:rsidP="00A27015">
      <w:pPr>
        <w:rPr>
          <w:lang w:val="en-NZ"/>
        </w:rPr>
      </w:pPr>
    </w:p>
    <w:p w:rsidR="00A27015" w:rsidRPr="00DB4CC5" w:rsidRDefault="00A27015" w:rsidP="00A27015">
      <w:pPr>
        <w:pStyle w:val="Heading2"/>
        <w:rPr>
          <w:lang w:val="en-NZ"/>
        </w:rPr>
      </w:pPr>
      <w:r w:rsidRPr="00DB4CC5">
        <w:rPr>
          <w:lang w:val="en-NZ"/>
        </w:rPr>
        <w:t>Submission</w:t>
      </w:r>
    </w:p>
    <w:p w:rsidR="00A27015" w:rsidRDefault="00A27015" w:rsidP="00093B1A">
      <w:pPr>
        <w:pStyle w:val="Heading4"/>
        <w:rPr>
          <w:lang w:val="en-NZ"/>
        </w:rPr>
      </w:pPr>
      <w:r>
        <w:rPr>
          <w:lang w:val="en-NZ"/>
        </w:rPr>
        <w:t>(EY)</w:t>
      </w:r>
    </w:p>
    <w:p w:rsidR="001D1CF7" w:rsidRDefault="001D1CF7" w:rsidP="00A27015">
      <w:pPr>
        <w:tabs>
          <w:tab w:val="left" w:pos="5295"/>
        </w:tabs>
        <w:rPr>
          <w:lang w:val="en-NZ"/>
        </w:rPr>
      </w:pPr>
    </w:p>
    <w:p w:rsidR="00A27015" w:rsidRPr="00DB4CC5" w:rsidRDefault="00A27015" w:rsidP="00A27015">
      <w:pPr>
        <w:tabs>
          <w:tab w:val="left" w:pos="5295"/>
        </w:tabs>
        <w:rPr>
          <w:lang w:val="en-NZ"/>
        </w:rPr>
      </w:pPr>
      <w:r>
        <w:rPr>
          <w:lang w:val="en-NZ"/>
        </w:rPr>
        <w:t xml:space="preserve">It should be clarified that the business premises </w:t>
      </w:r>
      <w:r w:rsidR="007C3F8E">
        <w:rPr>
          <w:lang w:val="en-NZ"/>
        </w:rPr>
        <w:t>or farmland does not need to be used for a farming or agricultural b</w:t>
      </w:r>
      <w:r w:rsidR="00D104F8">
        <w:rPr>
          <w:lang w:val="en-NZ"/>
        </w:rPr>
        <w:t xml:space="preserve">usiness by the transferor to </w:t>
      </w:r>
      <w:r w:rsidR="00B4783F">
        <w:rPr>
          <w:lang w:val="en-NZ"/>
        </w:rPr>
        <w:t xml:space="preserve">use </w:t>
      </w:r>
      <w:r w:rsidR="00D104F8">
        <w:rPr>
          <w:lang w:val="en-NZ"/>
        </w:rPr>
        <w:t>the exception.</w:t>
      </w:r>
    </w:p>
    <w:p w:rsidR="00A27015" w:rsidRPr="00DB4CC5" w:rsidRDefault="00A27015" w:rsidP="00A27015">
      <w:pPr>
        <w:rPr>
          <w:lang w:val="en-NZ"/>
        </w:rPr>
      </w:pPr>
    </w:p>
    <w:p w:rsidR="00A27015" w:rsidRPr="00DB4CC5" w:rsidRDefault="00A27015" w:rsidP="00A27015">
      <w:pPr>
        <w:pStyle w:val="Heading2"/>
        <w:rPr>
          <w:lang w:val="en-NZ"/>
        </w:rPr>
      </w:pPr>
      <w:r w:rsidRPr="00DB4CC5">
        <w:rPr>
          <w:lang w:val="en-NZ"/>
        </w:rPr>
        <w:t>Comment</w:t>
      </w:r>
    </w:p>
    <w:p w:rsidR="00A27015" w:rsidRPr="00DB4CC5" w:rsidRDefault="00A27015" w:rsidP="00A27015">
      <w:pPr>
        <w:rPr>
          <w:lang w:val="en-NZ"/>
        </w:rPr>
      </w:pPr>
    </w:p>
    <w:p w:rsidR="00A74802" w:rsidRDefault="00A27015" w:rsidP="00A27015">
      <w:pPr>
        <w:rPr>
          <w:lang w:val="en-NZ"/>
        </w:rPr>
      </w:pPr>
      <w:r>
        <w:rPr>
          <w:lang w:val="en-NZ"/>
        </w:rPr>
        <w:t>The proposed business premises</w:t>
      </w:r>
      <w:r w:rsidR="00975F2C">
        <w:rPr>
          <w:lang w:val="en-NZ"/>
        </w:rPr>
        <w:t xml:space="preserve"> and farmland</w:t>
      </w:r>
      <w:r>
        <w:rPr>
          <w:lang w:val="en-NZ"/>
        </w:rPr>
        <w:t xml:space="preserve"> exclusion</w:t>
      </w:r>
      <w:r w:rsidR="00975F2C">
        <w:rPr>
          <w:lang w:val="en-NZ"/>
        </w:rPr>
        <w:t xml:space="preserve"> (as presently drafted) require</w:t>
      </w:r>
      <w:r w:rsidR="005D15DA">
        <w:rPr>
          <w:lang w:val="en-NZ"/>
        </w:rPr>
        <w:t>s</w:t>
      </w:r>
      <w:r>
        <w:rPr>
          <w:lang w:val="en-NZ"/>
        </w:rPr>
        <w:t xml:space="preserve"> the land be used predominantly as business premises</w:t>
      </w:r>
      <w:r w:rsidR="00572484">
        <w:rPr>
          <w:lang w:val="en-NZ"/>
        </w:rPr>
        <w:t xml:space="preserve"> or farmland</w:t>
      </w:r>
      <w:r w:rsidR="00F16E3E">
        <w:rPr>
          <w:lang w:val="en-NZ"/>
        </w:rPr>
        <w:t>.  I</w:t>
      </w:r>
      <w:r>
        <w:rPr>
          <w:lang w:val="en-NZ"/>
        </w:rPr>
        <w:t xml:space="preserve">t does not require </w:t>
      </w:r>
      <w:r w:rsidR="00A25D2A">
        <w:rPr>
          <w:lang w:val="en-NZ"/>
        </w:rPr>
        <w:t>the land to be used as business premises</w:t>
      </w:r>
      <w:r w:rsidR="008F3B7A">
        <w:rPr>
          <w:lang w:val="en-NZ"/>
        </w:rPr>
        <w:t xml:space="preserve"> or farmland</w:t>
      </w:r>
      <w:r w:rsidR="00A25D2A">
        <w:rPr>
          <w:lang w:val="en-NZ"/>
        </w:rPr>
        <w:t xml:space="preserve"> by the transferor</w:t>
      </w:r>
      <w:r>
        <w:rPr>
          <w:lang w:val="en-NZ"/>
        </w:rPr>
        <w:t>.</w:t>
      </w:r>
    </w:p>
    <w:p w:rsidR="00A27015" w:rsidRPr="00DB4CC5" w:rsidRDefault="00A27015" w:rsidP="00A27015">
      <w:pPr>
        <w:rPr>
          <w:lang w:val="en-NZ"/>
        </w:rPr>
      </w:pPr>
    </w:p>
    <w:p w:rsidR="00A27015" w:rsidRPr="00DB4CC5" w:rsidRDefault="00A27015" w:rsidP="00A27015">
      <w:pPr>
        <w:pStyle w:val="Heading2"/>
        <w:rPr>
          <w:lang w:val="en-NZ"/>
        </w:rPr>
      </w:pPr>
      <w:r w:rsidRPr="00DB4CC5">
        <w:rPr>
          <w:lang w:val="en-NZ"/>
        </w:rPr>
        <w:t>Recommendation</w:t>
      </w:r>
    </w:p>
    <w:p w:rsidR="00A27015" w:rsidRPr="00DB4CC5" w:rsidRDefault="00A27015" w:rsidP="00A27015">
      <w:pPr>
        <w:rPr>
          <w:lang w:val="en-NZ"/>
        </w:rPr>
      </w:pPr>
    </w:p>
    <w:p w:rsidR="00A27015" w:rsidRPr="00DB4CC5" w:rsidRDefault="00A27015" w:rsidP="00A27015">
      <w:pPr>
        <w:rPr>
          <w:lang w:val="en-NZ"/>
        </w:rPr>
      </w:pPr>
      <w:r w:rsidRPr="00DB4CC5">
        <w:rPr>
          <w:lang w:val="en-NZ"/>
        </w:rPr>
        <w:t xml:space="preserve">That the submission be </w:t>
      </w:r>
      <w:r w:rsidR="00517261">
        <w:rPr>
          <w:lang w:val="en-NZ"/>
        </w:rPr>
        <w:t>declined.</w:t>
      </w:r>
    </w:p>
    <w:p w:rsidR="00A27015" w:rsidRPr="00DB4CC5" w:rsidRDefault="00A27015" w:rsidP="00A27015">
      <w:pPr>
        <w:pBdr>
          <w:bottom w:val="single" w:sz="4" w:space="1" w:color="auto"/>
        </w:pBdr>
        <w:rPr>
          <w:lang w:val="en-NZ"/>
        </w:rPr>
      </w:pPr>
    </w:p>
    <w:p w:rsidR="00A27015" w:rsidRDefault="00A27015" w:rsidP="00A27015">
      <w:pPr>
        <w:rPr>
          <w:lang w:val="en-NZ"/>
        </w:rPr>
      </w:pPr>
    </w:p>
    <w:p w:rsidR="007E7996" w:rsidRPr="00DB4CC5" w:rsidRDefault="007E7996" w:rsidP="00A27015">
      <w:pPr>
        <w:rPr>
          <w:lang w:val="en-NZ"/>
        </w:rPr>
      </w:pPr>
    </w:p>
    <w:p w:rsidR="00A27015" w:rsidRPr="00DB4CC5" w:rsidRDefault="00A27015" w:rsidP="00A27015">
      <w:pPr>
        <w:pStyle w:val="Heading5"/>
        <w:ind w:left="794" w:hanging="794"/>
        <w:rPr>
          <w:lang w:val="en-NZ"/>
        </w:rPr>
      </w:pPr>
      <w:bookmarkStart w:id="40" w:name="_Toc432411928"/>
      <w:r w:rsidRPr="00DB4CC5">
        <w:rPr>
          <w:lang w:val="en-NZ"/>
        </w:rPr>
        <w:t>Issue:</w:t>
      </w:r>
      <w:r w:rsidRPr="00DB4CC5">
        <w:rPr>
          <w:lang w:val="en-NZ"/>
        </w:rPr>
        <w:tab/>
      </w:r>
      <w:r w:rsidR="00905D19">
        <w:rPr>
          <w:lang w:val="en-NZ"/>
        </w:rPr>
        <w:t>Land used for rental purposes</w:t>
      </w:r>
      <w:bookmarkEnd w:id="40"/>
    </w:p>
    <w:p w:rsidR="00A27015" w:rsidRPr="00DB4CC5" w:rsidRDefault="00A27015" w:rsidP="00A27015">
      <w:pPr>
        <w:rPr>
          <w:lang w:val="en-NZ"/>
        </w:rPr>
      </w:pPr>
    </w:p>
    <w:p w:rsidR="00A27015" w:rsidRPr="00DB4CC5" w:rsidRDefault="00A27015" w:rsidP="00A27015">
      <w:pPr>
        <w:rPr>
          <w:lang w:val="en-NZ"/>
        </w:rPr>
      </w:pPr>
    </w:p>
    <w:p w:rsidR="00A27015" w:rsidRPr="00DB4CC5" w:rsidRDefault="00A27015" w:rsidP="00A27015">
      <w:pPr>
        <w:pStyle w:val="Heading2"/>
        <w:rPr>
          <w:lang w:val="en-NZ"/>
        </w:rPr>
      </w:pPr>
      <w:r w:rsidRPr="00DB4CC5">
        <w:rPr>
          <w:lang w:val="en-NZ"/>
        </w:rPr>
        <w:t>Submission</w:t>
      </w:r>
    </w:p>
    <w:p w:rsidR="00A27015" w:rsidRPr="00DB4CC5" w:rsidRDefault="00A27015" w:rsidP="00A27015">
      <w:pPr>
        <w:pStyle w:val="Heading4"/>
        <w:rPr>
          <w:lang w:val="en-NZ"/>
        </w:rPr>
      </w:pPr>
      <w:r>
        <w:rPr>
          <w:lang w:val="en-NZ"/>
        </w:rPr>
        <w:t xml:space="preserve">(EY) </w:t>
      </w:r>
    </w:p>
    <w:p w:rsidR="001D1CF7" w:rsidRDefault="001D1CF7" w:rsidP="00A27015">
      <w:pPr>
        <w:tabs>
          <w:tab w:val="left" w:pos="5295"/>
        </w:tabs>
        <w:rPr>
          <w:lang w:val="en-NZ"/>
        </w:rPr>
      </w:pPr>
    </w:p>
    <w:p w:rsidR="00A27015" w:rsidRPr="00DB4CC5" w:rsidRDefault="00A27015" w:rsidP="00A27015">
      <w:pPr>
        <w:tabs>
          <w:tab w:val="left" w:pos="5295"/>
        </w:tabs>
        <w:rPr>
          <w:lang w:val="en-NZ"/>
        </w:rPr>
      </w:pPr>
      <w:r>
        <w:rPr>
          <w:lang w:val="en-NZ"/>
        </w:rPr>
        <w:t xml:space="preserve">It should be clarified that </w:t>
      </w:r>
      <w:r w:rsidR="00A5348C">
        <w:rPr>
          <w:lang w:val="en-NZ"/>
        </w:rPr>
        <w:t xml:space="preserve">“business premises” may include land used </w:t>
      </w:r>
      <w:r>
        <w:rPr>
          <w:lang w:val="en-NZ"/>
        </w:rPr>
        <w:t>for rental purposes (whether residential or commercial) if the transferor’s rental activities constitute</w:t>
      </w:r>
      <w:r w:rsidR="00A5348C">
        <w:rPr>
          <w:lang w:val="en-NZ"/>
        </w:rPr>
        <w:t>d</w:t>
      </w:r>
      <w:r>
        <w:rPr>
          <w:lang w:val="en-NZ"/>
        </w:rPr>
        <w:t xml:space="preserve"> the carrying on of a business rather than a passive investment.</w:t>
      </w:r>
    </w:p>
    <w:p w:rsidR="00A27015" w:rsidRDefault="00A27015" w:rsidP="00A27015">
      <w:pPr>
        <w:rPr>
          <w:lang w:val="en-NZ"/>
        </w:rPr>
      </w:pPr>
    </w:p>
    <w:p w:rsidR="00A25D2A" w:rsidRDefault="00A25D2A" w:rsidP="00A27015">
      <w:pPr>
        <w:rPr>
          <w:lang w:val="en-NZ"/>
        </w:rPr>
      </w:pPr>
      <w:r>
        <w:rPr>
          <w:lang w:val="en-NZ"/>
        </w:rPr>
        <w:t>The treatment of serviced apartments, in particular, should be clarified.</w:t>
      </w:r>
    </w:p>
    <w:p w:rsidR="00A25D2A" w:rsidRPr="00DB4CC5" w:rsidRDefault="00A25D2A" w:rsidP="00A27015">
      <w:pPr>
        <w:rPr>
          <w:lang w:val="en-NZ"/>
        </w:rPr>
      </w:pPr>
    </w:p>
    <w:p w:rsidR="00A27015" w:rsidRPr="00DB4CC5" w:rsidRDefault="00A27015" w:rsidP="00A27015">
      <w:pPr>
        <w:pStyle w:val="Heading2"/>
        <w:rPr>
          <w:lang w:val="en-NZ"/>
        </w:rPr>
      </w:pPr>
      <w:r w:rsidRPr="00DB4CC5">
        <w:rPr>
          <w:lang w:val="en-NZ"/>
        </w:rPr>
        <w:t>Comment</w:t>
      </w:r>
    </w:p>
    <w:p w:rsidR="00A27015" w:rsidRPr="00DB4CC5" w:rsidRDefault="00A27015" w:rsidP="00A27015">
      <w:pPr>
        <w:rPr>
          <w:lang w:val="en-NZ"/>
        </w:rPr>
      </w:pPr>
    </w:p>
    <w:p w:rsidR="00A27015" w:rsidRDefault="00A25D2A" w:rsidP="00A27015">
      <w:pPr>
        <w:rPr>
          <w:lang w:val="en-NZ"/>
        </w:rPr>
      </w:pPr>
      <w:r>
        <w:rPr>
          <w:lang w:val="en-NZ"/>
        </w:rPr>
        <w:t>To obtain the business premises exclusion</w:t>
      </w:r>
      <w:r w:rsidR="008F3B7A">
        <w:rPr>
          <w:lang w:val="en-NZ"/>
        </w:rPr>
        <w:t>, the relevant</w:t>
      </w:r>
      <w:r>
        <w:rPr>
          <w:lang w:val="en-NZ"/>
        </w:rPr>
        <w:t xml:space="preserve"> land must be used predominantly as business premises.</w:t>
      </w:r>
    </w:p>
    <w:p w:rsidR="00A25D2A" w:rsidRDefault="00A25D2A" w:rsidP="00A27015">
      <w:pPr>
        <w:rPr>
          <w:lang w:val="en-NZ"/>
        </w:rPr>
      </w:pPr>
    </w:p>
    <w:p w:rsidR="00653689" w:rsidRDefault="008F3B7A" w:rsidP="00A27015">
      <w:pPr>
        <w:rPr>
          <w:lang w:val="en-NZ"/>
        </w:rPr>
      </w:pPr>
      <w:r>
        <w:rPr>
          <w:lang w:val="en-NZ"/>
        </w:rPr>
        <w:t>The business premises exclusion</w:t>
      </w:r>
      <w:r w:rsidR="00A25D2A">
        <w:rPr>
          <w:lang w:val="en-NZ"/>
        </w:rPr>
        <w:t xml:space="preserve"> is</w:t>
      </w:r>
      <w:r w:rsidR="00653689">
        <w:rPr>
          <w:lang w:val="en-NZ"/>
        </w:rPr>
        <w:t xml:space="preserve"> intended to be</w:t>
      </w:r>
      <w:r w:rsidR="00A25D2A">
        <w:rPr>
          <w:lang w:val="en-NZ"/>
        </w:rPr>
        <w:t xml:space="preserve"> available if </w:t>
      </w:r>
      <w:r w:rsidR="00653689">
        <w:rPr>
          <w:lang w:val="en-NZ"/>
        </w:rPr>
        <w:t>the land</w:t>
      </w:r>
      <w:r w:rsidR="00A25D2A">
        <w:rPr>
          <w:lang w:val="en-NZ"/>
        </w:rPr>
        <w:t xml:space="preserve"> is rented out to a third party who </w:t>
      </w:r>
      <w:r>
        <w:rPr>
          <w:lang w:val="en-NZ"/>
        </w:rPr>
        <w:t>occupies</w:t>
      </w:r>
      <w:r w:rsidR="00A25D2A">
        <w:rPr>
          <w:lang w:val="en-NZ"/>
        </w:rPr>
        <w:t xml:space="preserve"> the land as their business premises</w:t>
      </w:r>
      <w:r w:rsidR="00F16E3E">
        <w:rPr>
          <w:lang w:val="en-NZ"/>
        </w:rPr>
        <w:t>.  I</w:t>
      </w:r>
      <w:r w:rsidR="00653689">
        <w:rPr>
          <w:lang w:val="en-NZ"/>
        </w:rPr>
        <w:t>t is not intended to apply whe</w:t>
      </w:r>
      <w:r w:rsidR="004E72E5">
        <w:rPr>
          <w:lang w:val="en-NZ"/>
        </w:rPr>
        <w:t>n</w:t>
      </w:r>
      <w:r w:rsidR="00653689">
        <w:rPr>
          <w:lang w:val="en-NZ"/>
        </w:rPr>
        <w:t xml:space="preserve"> it is rented out to a third party who </w:t>
      </w:r>
      <w:r>
        <w:rPr>
          <w:lang w:val="en-NZ"/>
        </w:rPr>
        <w:t>occupies</w:t>
      </w:r>
      <w:r w:rsidR="00653689">
        <w:rPr>
          <w:lang w:val="en-NZ"/>
        </w:rPr>
        <w:t xml:space="preserve"> the land for residential purposes.</w:t>
      </w:r>
    </w:p>
    <w:p w:rsidR="00653689" w:rsidRDefault="00653689" w:rsidP="00A27015">
      <w:pPr>
        <w:rPr>
          <w:lang w:val="en-NZ"/>
        </w:rPr>
      </w:pPr>
    </w:p>
    <w:p w:rsidR="00A25D2A" w:rsidRDefault="009A210B" w:rsidP="00A27015">
      <w:pPr>
        <w:rPr>
          <w:lang w:val="en-NZ"/>
        </w:rPr>
      </w:pPr>
      <w:r>
        <w:rPr>
          <w:lang w:val="en-NZ"/>
        </w:rPr>
        <w:t xml:space="preserve">We </w:t>
      </w:r>
      <w:r w:rsidR="00653689">
        <w:rPr>
          <w:lang w:val="en-NZ"/>
        </w:rPr>
        <w:t xml:space="preserve">do not consider that the ordinary meaning of “business premises” would include land that is </w:t>
      </w:r>
      <w:r w:rsidR="00E074B3">
        <w:rPr>
          <w:lang w:val="en-NZ"/>
        </w:rPr>
        <w:t>occupied</w:t>
      </w:r>
      <w:r w:rsidR="00653689">
        <w:rPr>
          <w:lang w:val="en-NZ"/>
        </w:rPr>
        <w:t xml:space="preserve"> by a third party for residential purposes.</w:t>
      </w:r>
    </w:p>
    <w:p w:rsidR="00A25D2A" w:rsidRDefault="00A25D2A" w:rsidP="00A27015">
      <w:pPr>
        <w:rPr>
          <w:lang w:val="en-NZ"/>
        </w:rPr>
      </w:pPr>
    </w:p>
    <w:p w:rsidR="00A25D2A" w:rsidRPr="00DB4CC5" w:rsidRDefault="00A25D2A" w:rsidP="00A27015">
      <w:pPr>
        <w:rPr>
          <w:lang w:val="en-NZ"/>
        </w:rPr>
      </w:pPr>
      <w:r>
        <w:rPr>
          <w:lang w:val="en-NZ"/>
        </w:rPr>
        <w:t xml:space="preserve">Where property is </w:t>
      </w:r>
      <w:r w:rsidR="00177FF2">
        <w:rPr>
          <w:lang w:val="en-NZ"/>
        </w:rPr>
        <w:t>occupied</w:t>
      </w:r>
      <w:r>
        <w:rPr>
          <w:lang w:val="en-NZ"/>
        </w:rPr>
        <w:t xml:space="preserve"> </w:t>
      </w:r>
      <w:r w:rsidR="00177FF2">
        <w:rPr>
          <w:lang w:val="en-NZ"/>
        </w:rPr>
        <w:t>partly</w:t>
      </w:r>
      <w:r>
        <w:rPr>
          <w:lang w:val="en-NZ"/>
        </w:rPr>
        <w:t xml:space="preserve"> </w:t>
      </w:r>
      <w:r w:rsidR="009A210B">
        <w:rPr>
          <w:lang w:val="en-NZ"/>
        </w:rPr>
        <w:t>for residential purposes and</w:t>
      </w:r>
      <w:r w:rsidR="00177FF2">
        <w:rPr>
          <w:lang w:val="en-NZ"/>
        </w:rPr>
        <w:t xml:space="preserve"> partly for business premises</w:t>
      </w:r>
      <w:r>
        <w:rPr>
          <w:lang w:val="en-NZ"/>
        </w:rPr>
        <w:t xml:space="preserve"> (for example</w:t>
      </w:r>
      <w:r w:rsidR="00BF22E5">
        <w:rPr>
          <w:lang w:val="en-NZ"/>
        </w:rPr>
        <w:t>,</w:t>
      </w:r>
      <w:r>
        <w:rPr>
          <w:lang w:val="en-NZ"/>
        </w:rPr>
        <w:t xml:space="preserve"> serviced apartments) it will be a boundary situation that would need to be determined on the facts and circumstances of the</w:t>
      </w:r>
      <w:r w:rsidR="009A210B">
        <w:rPr>
          <w:lang w:val="en-NZ"/>
        </w:rPr>
        <w:t xml:space="preserve"> specific</w:t>
      </w:r>
      <w:r>
        <w:rPr>
          <w:lang w:val="en-NZ"/>
        </w:rPr>
        <w:t xml:space="preserve"> </w:t>
      </w:r>
      <w:r w:rsidR="00BF22E5">
        <w:rPr>
          <w:lang w:val="en-NZ"/>
        </w:rPr>
        <w:t>case.</w:t>
      </w:r>
    </w:p>
    <w:p w:rsidR="00A27015" w:rsidRPr="00DB4CC5" w:rsidRDefault="00A27015" w:rsidP="00A27015">
      <w:pPr>
        <w:rPr>
          <w:lang w:val="en-NZ"/>
        </w:rPr>
      </w:pPr>
    </w:p>
    <w:p w:rsidR="00A27015" w:rsidRPr="00DB4CC5" w:rsidRDefault="00A27015" w:rsidP="00A27015">
      <w:pPr>
        <w:pStyle w:val="Heading2"/>
        <w:rPr>
          <w:lang w:val="en-NZ"/>
        </w:rPr>
      </w:pPr>
      <w:r w:rsidRPr="00DB4CC5">
        <w:rPr>
          <w:lang w:val="en-NZ"/>
        </w:rPr>
        <w:t>Recommendation</w:t>
      </w:r>
    </w:p>
    <w:p w:rsidR="00A27015" w:rsidRPr="00DB4CC5" w:rsidRDefault="00A27015" w:rsidP="00A27015">
      <w:pPr>
        <w:rPr>
          <w:lang w:val="en-NZ"/>
        </w:rPr>
      </w:pPr>
    </w:p>
    <w:p w:rsidR="00A27015" w:rsidRPr="00DB4CC5" w:rsidRDefault="00A27015" w:rsidP="00A27015">
      <w:pPr>
        <w:rPr>
          <w:lang w:val="en-NZ"/>
        </w:rPr>
      </w:pPr>
      <w:r w:rsidRPr="00DB4CC5">
        <w:rPr>
          <w:lang w:val="en-NZ"/>
        </w:rPr>
        <w:t xml:space="preserve">That the submission be </w:t>
      </w:r>
      <w:r w:rsidR="009A210B">
        <w:rPr>
          <w:lang w:val="en-NZ"/>
        </w:rPr>
        <w:t>declined.</w:t>
      </w:r>
    </w:p>
    <w:p w:rsidR="00956055" w:rsidRPr="00DB4CC5" w:rsidRDefault="00956055" w:rsidP="00956055">
      <w:pPr>
        <w:pBdr>
          <w:bottom w:val="single" w:sz="4" w:space="1" w:color="auto"/>
        </w:pBdr>
        <w:rPr>
          <w:lang w:val="en-NZ"/>
        </w:rPr>
      </w:pPr>
    </w:p>
    <w:p w:rsidR="00956055" w:rsidRDefault="00956055" w:rsidP="00956055">
      <w:pPr>
        <w:rPr>
          <w:lang w:val="en-NZ"/>
        </w:rPr>
      </w:pPr>
    </w:p>
    <w:p w:rsidR="007E7996" w:rsidRPr="00DB4CC5" w:rsidRDefault="007E7996" w:rsidP="00956055">
      <w:pPr>
        <w:rPr>
          <w:lang w:val="en-NZ"/>
        </w:rPr>
      </w:pPr>
    </w:p>
    <w:p w:rsidR="00956055" w:rsidRPr="00DB4CC5" w:rsidRDefault="00956055" w:rsidP="00956055">
      <w:pPr>
        <w:pStyle w:val="Heading5"/>
        <w:ind w:left="794" w:hanging="794"/>
        <w:rPr>
          <w:lang w:val="en-NZ"/>
        </w:rPr>
      </w:pPr>
      <w:bookmarkStart w:id="41" w:name="_Toc432411929"/>
      <w:r w:rsidRPr="00DB4CC5">
        <w:rPr>
          <w:lang w:val="en-NZ"/>
        </w:rPr>
        <w:t>Issue:</w:t>
      </w:r>
      <w:r w:rsidRPr="00DB4CC5">
        <w:rPr>
          <w:lang w:val="en-NZ"/>
        </w:rPr>
        <w:tab/>
      </w:r>
      <w:r>
        <w:rPr>
          <w:lang w:val="en-NZ"/>
        </w:rPr>
        <w:t>Extending bright-line to all land</w:t>
      </w:r>
      <w:bookmarkEnd w:id="41"/>
    </w:p>
    <w:p w:rsidR="00956055" w:rsidRPr="00DB4CC5" w:rsidRDefault="00956055" w:rsidP="00956055">
      <w:pPr>
        <w:rPr>
          <w:lang w:val="en-NZ"/>
        </w:rPr>
      </w:pPr>
    </w:p>
    <w:p w:rsidR="00956055" w:rsidRPr="00DB4CC5" w:rsidRDefault="00956055" w:rsidP="00956055">
      <w:pPr>
        <w:rPr>
          <w:lang w:val="en-NZ"/>
        </w:rPr>
      </w:pPr>
    </w:p>
    <w:p w:rsidR="00956055" w:rsidRPr="00DB4CC5" w:rsidRDefault="00956055" w:rsidP="00956055">
      <w:pPr>
        <w:pStyle w:val="Heading2"/>
        <w:rPr>
          <w:lang w:val="en-NZ"/>
        </w:rPr>
      </w:pPr>
      <w:r w:rsidRPr="00DB4CC5">
        <w:rPr>
          <w:lang w:val="en-NZ"/>
        </w:rPr>
        <w:t>Submission</w:t>
      </w:r>
    </w:p>
    <w:p w:rsidR="00956055" w:rsidRPr="00DB4CC5" w:rsidRDefault="00956055" w:rsidP="00956055">
      <w:pPr>
        <w:pStyle w:val="Heading4"/>
        <w:rPr>
          <w:lang w:val="en-NZ"/>
        </w:rPr>
      </w:pPr>
      <w:r>
        <w:rPr>
          <w:lang w:val="en-NZ"/>
        </w:rPr>
        <w:t xml:space="preserve">(Matter raised </w:t>
      </w:r>
      <w:r w:rsidR="00961971">
        <w:rPr>
          <w:lang w:val="en-NZ"/>
        </w:rPr>
        <w:t>during oral submissions</w:t>
      </w:r>
      <w:r>
        <w:rPr>
          <w:lang w:val="en-NZ"/>
        </w:rPr>
        <w:t>)</w:t>
      </w:r>
    </w:p>
    <w:p w:rsidR="00956055" w:rsidRDefault="00956055" w:rsidP="00956055">
      <w:pPr>
        <w:tabs>
          <w:tab w:val="left" w:pos="5295"/>
        </w:tabs>
        <w:rPr>
          <w:lang w:val="en-NZ"/>
        </w:rPr>
      </w:pPr>
    </w:p>
    <w:p w:rsidR="00956055" w:rsidRPr="00DB4CC5" w:rsidRDefault="00961971" w:rsidP="00956055">
      <w:pPr>
        <w:tabs>
          <w:tab w:val="left" w:pos="5295"/>
        </w:tabs>
        <w:rPr>
          <w:lang w:val="en-NZ"/>
        </w:rPr>
      </w:pPr>
      <w:r>
        <w:rPr>
          <w:lang w:val="en-NZ"/>
        </w:rPr>
        <w:t>During oral submissions it was suggested that the bright-line test could apply to all land rather than being restricted to residential land.</w:t>
      </w:r>
    </w:p>
    <w:p w:rsidR="00956055" w:rsidRPr="00DB4CC5" w:rsidRDefault="00956055" w:rsidP="00956055">
      <w:pPr>
        <w:rPr>
          <w:lang w:val="en-NZ"/>
        </w:rPr>
      </w:pPr>
    </w:p>
    <w:p w:rsidR="00956055" w:rsidRPr="00DB4CC5" w:rsidRDefault="00956055" w:rsidP="00956055">
      <w:pPr>
        <w:pStyle w:val="Heading2"/>
        <w:rPr>
          <w:lang w:val="en-NZ"/>
        </w:rPr>
      </w:pPr>
      <w:r w:rsidRPr="00DB4CC5">
        <w:rPr>
          <w:lang w:val="en-NZ"/>
        </w:rPr>
        <w:t>Comment</w:t>
      </w:r>
    </w:p>
    <w:p w:rsidR="00956055" w:rsidRPr="00DB4CC5" w:rsidRDefault="00956055" w:rsidP="00956055">
      <w:pPr>
        <w:rPr>
          <w:lang w:val="en-NZ"/>
        </w:rPr>
      </w:pPr>
    </w:p>
    <w:p w:rsidR="00956055" w:rsidRPr="00DB4CC5" w:rsidRDefault="00956055" w:rsidP="00956055">
      <w:pPr>
        <w:rPr>
          <w:lang w:val="en-NZ"/>
        </w:rPr>
      </w:pPr>
      <w:r>
        <w:rPr>
          <w:lang w:val="en-NZ"/>
        </w:rPr>
        <w:t>The bright-line test is targeted towards the particular problems of enforcing the current land sale rules in relation to residential land</w:t>
      </w:r>
      <w:r w:rsidR="00F16E3E">
        <w:rPr>
          <w:lang w:val="en-NZ"/>
        </w:rPr>
        <w:t>.  R</w:t>
      </w:r>
      <w:r>
        <w:rPr>
          <w:lang w:val="en-NZ"/>
        </w:rPr>
        <w:t xml:space="preserve">esidential land causes particular difficulties for enforcement as there is a high volume and </w:t>
      </w:r>
      <w:r w:rsidR="00297239">
        <w:rPr>
          <w:lang w:val="en-NZ"/>
        </w:rPr>
        <w:t xml:space="preserve">turnover </w:t>
      </w:r>
      <w:r>
        <w:rPr>
          <w:lang w:val="en-NZ"/>
        </w:rPr>
        <w:t>of transactions</w:t>
      </w:r>
      <w:r w:rsidR="00F040EA">
        <w:rPr>
          <w:lang w:val="en-NZ"/>
        </w:rPr>
        <w:t xml:space="preserve">.  </w:t>
      </w:r>
      <w:r w:rsidR="00DA3670">
        <w:rPr>
          <w:lang w:val="en-NZ"/>
        </w:rPr>
        <w:t>These difficulties are not evident to the same extent with other land.</w:t>
      </w:r>
    </w:p>
    <w:p w:rsidR="00956055" w:rsidRPr="00DB4CC5" w:rsidRDefault="00956055" w:rsidP="00956055">
      <w:pPr>
        <w:rPr>
          <w:lang w:val="en-NZ"/>
        </w:rPr>
      </w:pPr>
    </w:p>
    <w:p w:rsidR="00956055" w:rsidRPr="00DB4CC5" w:rsidRDefault="00956055" w:rsidP="00956055">
      <w:pPr>
        <w:pStyle w:val="Heading2"/>
        <w:rPr>
          <w:lang w:val="en-NZ"/>
        </w:rPr>
      </w:pPr>
      <w:r w:rsidRPr="00DB4CC5">
        <w:rPr>
          <w:lang w:val="en-NZ"/>
        </w:rPr>
        <w:t>Recommendation</w:t>
      </w:r>
    </w:p>
    <w:p w:rsidR="00956055" w:rsidRPr="00DB4CC5" w:rsidRDefault="00956055" w:rsidP="00956055">
      <w:pPr>
        <w:rPr>
          <w:lang w:val="en-NZ"/>
        </w:rPr>
      </w:pPr>
    </w:p>
    <w:p w:rsidR="00956055" w:rsidRPr="00DB4CC5" w:rsidRDefault="00956055" w:rsidP="00956055">
      <w:pPr>
        <w:rPr>
          <w:lang w:val="en-NZ"/>
        </w:rPr>
      </w:pPr>
      <w:r w:rsidRPr="00DB4CC5">
        <w:rPr>
          <w:lang w:val="en-NZ"/>
        </w:rPr>
        <w:t xml:space="preserve">That the submission be </w:t>
      </w:r>
      <w:r>
        <w:rPr>
          <w:lang w:val="en-NZ"/>
        </w:rPr>
        <w:t>declined.</w:t>
      </w:r>
    </w:p>
    <w:p w:rsidR="00D95FF8" w:rsidRDefault="00D95FF8">
      <w:pPr>
        <w:jc w:val="left"/>
        <w:rPr>
          <w:lang w:val="en-NZ"/>
        </w:rPr>
      </w:pPr>
      <w:r>
        <w:rPr>
          <w:lang w:val="en-NZ"/>
        </w:rPr>
        <w:br w:type="page"/>
      </w:r>
    </w:p>
    <w:p w:rsidR="00D95FF8" w:rsidRPr="00DB4CC5" w:rsidRDefault="00D95FF8" w:rsidP="00D95FF8">
      <w:pPr>
        <w:pStyle w:val="Heading1"/>
      </w:pPr>
      <w:bookmarkStart w:id="42" w:name="_Toc432411930"/>
      <w:r>
        <w:t>Main home</w:t>
      </w:r>
      <w:bookmarkEnd w:id="42"/>
    </w:p>
    <w:p w:rsidR="00D95FF8" w:rsidRPr="00DB4CC5" w:rsidRDefault="00D95FF8" w:rsidP="00D95FF8">
      <w:pPr>
        <w:rPr>
          <w:lang w:val="en-NZ"/>
        </w:rPr>
      </w:pPr>
    </w:p>
    <w:p w:rsidR="00D95FF8" w:rsidRDefault="000E7CA9" w:rsidP="00D95FF8">
      <w:pPr>
        <w:pStyle w:val="Heading3"/>
        <w:rPr>
          <w:lang w:val="en-NZ"/>
        </w:rPr>
      </w:pPr>
      <w:r>
        <w:rPr>
          <w:lang w:val="en-NZ"/>
        </w:rPr>
        <w:t>Clauses 6, 15(5), (10) and (11)</w:t>
      </w:r>
    </w:p>
    <w:p w:rsidR="00D95FF8" w:rsidRDefault="00D95FF8" w:rsidP="00D95FF8">
      <w:pPr>
        <w:rPr>
          <w:lang w:val="en-NZ"/>
        </w:rPr>
      </w:pPr>
    </w:p>
    <w:p w:rsidR="00D95FF8" w:rsidRPr="00DB4CC5" w:rsidRDefault="00D95FF8" w:rsidP="00D95FF8">
      <w:pPr>
        <w:rPr>
          <w:lang w:val="en-NZ"/>
        </w:rPr>
      </w:pPr>
    </w:p>
    <w:p w:rsidR="00D95FF8" w:rsidRPr="00DB4CC5" w:rsidRDefault="00D95FF8" w:rsidP="00D95FF8">
      <w:pPr>
        <w:pStyle w:val="Heading5"/>
        <w:ind w:left="794" w:hanging="794"/>
        <w:rPr>
          <w:lang w:val="en-NZ"/>
        </w:rPr>
      </w:pPr>
      <w:bookmarkStart w:id="43" w:name="_Toc432411931"/>
      <w:r w:rsidRPr="00DB4CC5">
        <w:rPr>
          <w:lang w:val="en-NZ"/>
        </w:rPr>
        <w:t>Issue:</w:t>
      </w:r>
      <w:r w:rsidRPr="00DB4CC5">
        <w:rPr>
          <w:lang w:val="en-NZ"/>
        </w:rPr>
        <w:tab/>
      </w:r>
      <w:r w:rsidR="00EB4ECA">
        <w:rPr>
          <w:lang w:val="en-NZ"/>
        </w:rPr>
        <w:t>Alignment with current residential exclusion</w:t>
      </w:r>
      <w:bookmarkEnd w:id="43"/>
    </w:p>
    <w:p w:rsidR="00D95FF8" w:rsidRPr="00DB4CC5" w:rsidRDefault="00D95FF8" w:rsidP="00D95FF8">
      <w:pPr>
        <w:rPr>
          <w:lang w:val="en-NZ"/>
        </w:rPr>
      </w:pPr>
    </w:p>
    <w:p w:rsidR="00D95FF8" w:rsidRPr="00DB4CC5" w:rsidRDefault="00D95FF8" w:rsidP="00D95FF8">
      <w:pPr>
        <w:rPr>
          <w:lang w:val="en-NZ"/>
        </w:rPr>
      </w:pPr>
    </w:p>
    <w:p w:rsidR="00D95FF8" w:rsidRPr="00DB4CC5" w:rsidRDefault="00D95FF8" w:rsidP="00D95FF8">
      <w:pPr>
        <w:pStyle w:val="Heading2"/>
        <w:rPr>
          <w:lang w:val="en-NZ"/>
        </w:rPr>
      </w:pPr>
      <w:r w:rsidRPr="00DB4CC5">
        <w:rPr>
          <w:lang w:val="en-NZ"/>
        </w:rPr>
        <w:t>Submission</w:t>
      </w:r>
    </w:p>
    <w:p w:rsidR="00D95FF8" w:rsidRPr="00DB4CC5" w:rsidRDefault="00EB4ECA" w:rsidP="00D95FF8">
      <w:pPr>
        <w:pStyle w:val="Heading4"/>
        <w:rPr>
          <w:lang w:val="en-NZ"/>
        </w:rPr>
      </w:pPr>
      <w:r>
        <w:rPr>
          <w:lang w:val="en-NZ"/>
        </w:rPr>
        <w:t>(KPMG</w:t>
      </w:r>
      <w:r w:rsidR="003D2A32">
        <w:rPr>
          <w:lang w:val="en-NZ"/>
        </w:rPr>
        <w:t>, EY</w:t>
      </w:r>
      <w:r>
        <w:rPr>
          <w:lang w:val="en-NZ"/>
        </w:rPr>
        <w:t>)</w:t>
      </w:r>
    </w:p>
    <w:p w:rsidR="00D95FF8" w:rsidRPr="00DB4CC5" w:rsidRDefault="00D95FF8" w:rsidP="00D95FF8">
      <w:pPr>
        <w:tabs>
          <w:tab w:val="left" w:pos="5295"/>
        </w:tabs>
        <w:rPr>
          <w:lang w:val="en-NZ"/>
        </w:rPr>
      </w:pPr>
    </w:p>
    <w:p w:rsidR="00D95FF8" w:rsidRPr="005D15DA" w:rsidRDefault="00EB4ECA" w:rsidP="00D95FF8">
      <w:pPr>
        <w:rPr>
          <w:i/>
          <w:lang w:val="en-NZ"/>
        </w:rPr>
      </w:pPr>
      <w:r>
        <w:rPr>
          <w:lang w:val="en-NZ"/>
        </w:rPr>
        <w:t>The principal residence exemption in section CB 16 should be used instead of the proposed main home exception</w:t>
      </w:r>
      <w:r w:rsidR="00F16E3E">
        <w:rPr>
          <w:lang w:val="en-NZ"/>
        </w:rPr>
        <w:t>.  T</w:t>
      </w:r>
      <w:r>
        <w:rPr>
          <w:lang w:val="en-NZ"/>
        </w:rPr>
        <w:t>his would align it with the intention test the bright-line test is intended to supplement</w:t>
      </w:r>
      <w:r w:rsidR="00297239">
        <w:rPr>
          <w:lang w:val="en-NZ"/>
        </w:rPr>
        <w:t>,</w:t>
      </w:r>
      <w:r>
        <w:rPr>
          <w:lang w:val="en-NZ"/>
        </w:rPr>
        <w:t xml:space="preserve"> and remove uncertainty.</w:t>
      </w:r>
      <w:r w:rsidR="00177FF2">
        <w:rPr>
          <w:lang w:val="en-NZ"/>
        </w:rPr>
        <w:t xml:space="preserve"> </w:t>
      </w:r>
      <w:r w:rsidR="00177FF2" w:rsidRPr="005D15DA">
        <w:rPr>
          <w:i/>
          <w:lang w:val="en-NZ"/>
        </w:rPr>
        <w:t>(KPMG)</w:t>
      </w:r>
    </w:p>
    <w:p w:rsidR="00D95FF8" w:rsidRDefault="00D95FF8" w:rsidP="00D95FF8">
      <w:pPr>
        <w:rPr>
          <w:lang w:val="en-NZ"/>
        </w:rPr>
      </w:pPr>
    </w:p>
    <w:p w:rsidR="003D2A32" w:rsidRDefault="003D2A32" w:rsidP="00D95FF8">
      <w:pPr>
        <w:rPr>
          <w:lang w:val="en-NZ"/>
        </w:rPr>
      </w:pPr>
      <w:r>
        <w:rPr>
          <w:lang w:val="en-NZ"/>
        </w:rPr>
        <w:t>The scope of application of the “main home” exclusion in relation to trusts differs from those in the section CB 16 residential exclusion</w:t>
      </w:r>
      <w:r w:rsidR="00297239">
        <w:rPr>
          <w:lang w:val="en-NZ"/>
        </w:rPr>
        <w:t>,</w:t>
      </w:r>
      <w:r>
        <w:rPr>
          <w:lang w:val="en-NZ"/>
        </w:rPr>
        <w:t xml:space="preserve"> and is more complicated to understand and apply</w:t>
      </w:r>
      <w:r w:rsidR="00F16E3E">
        <w:rPr>
          <w:lang w:val="en-NZ"/>
        </w:rPr>
        <w:t>.  T</w:t>
      </w:r>
      <w:r>
        <w:rPr>
          <w:lang w:val="en-NZ"/>
        </w:rPr>
        <w:t>his should be simplified, if not aligned wit</w:t>
      </w:r>
      <w:r w:rsidR="00177FF2">
        <w:rPr>
          <w:lang w:val="en-NZ"/>
        </w:rPr>
        <w:t>h the section</w:t>
      </w:r>
      <w:r w:rsidR="00ED7574">
        <w:rPr>
          <w:lang w:val="en-NZ"/>
        </w:rPr>
        <w:t> </w:t>
      </w:r>
      <w:r w:rsidR="00177FF2">
        <w:rPr>
          <w:lang w:val="en-NZ"/>
        </w:rPr>
        <w:t>CB</w:t>
      </w:r>
      <w:r w:rsidR="00ED7574">
        <w:rPr>
          <w:lang w:val="en-NZ"/>
        </w:rPr>
        <w:t> </w:t>
      </w:r>
      <w:r w:rsidR="00177FF2">
        <w:rPr>
          <w:lang w:val="en-NZ"/>
        </w:rPr>
        <w:t xml:space="preserve">16 provision. </w:t>
      </w:r>
      <w:r w:rsidR="00177FF2" w:rsidRPr="009B557D">
        <w:rPr>
          <w:i/>
          <w:lang w:val="en-NZ"/>
        </w:rPr>
        <w:t>(EY)</w:t>
      </w:r>
    </w:p>
    <w:p w:rsidR="003D2A32" w:rsidRPr="00DB4CC5" w:rsidRDefault="003D2A32" w:rsidP="00D95FF8">
      <w:pPr>
        <w:rPr>
          <w:lang w:val="en-NZ"/>
        </w:rPr>
      </w:pPr>
    </w:p>
    <w:p w:rsidR="00D95FF8" w:rsidRPr="00DB4CC5" w:rsidRDefault="00D95FF8" w:rsidP="00D95FF8">
      <w:pPr>
        <w:pStyle w:val="Heading2"/>
        <w:rPr>
          <w:lang w:val="en-NZ"/>
        </w:rPr>
      </w:pPr>
      <w:r w:rsidRPr="00DB4CC5">
        <w:rPr>
          <w:lang w:val="en-NZ"/>
        </w:rPr>
        <w:t>Comment</w:t>
      </w:r>
    </w:p>
    <w:p w:rsidR="00D95FF8" w:rsidRPr="00DB4CC5" w:rsidRDefault="00D95FF8" w:rsidP="00D95FF8">
      <w:pPr>
        <w:rPr>
          <w:lang w:val="en-NZ"/>
        </w:rPr>
      </w:pPr>
    </w:p>
    <w:p w:rsidR="002B016D" w:rsidRPr="002B016D" w:rsidRDefault="002B016D" w:rsidP="002B016D">
      <w:pPr>
        <w:rPr>
          <w:szCs w:val="24"/>
        </w:rPr>
      </w:pPr>
      <w:r w:rsidRPr="002B016D">
        <w:rPr>
          <w:szCs w:val="24"/>
        </w:rPr>
        <w:t xml:space="preserve">The “residential exclusion” in section CB 16 does not fit the policy of the bright-line test. </w:t>
      </w:r>
      <w:r>
        <w:rPr>
          <w:szCs w:val="24"/>
        </w:rPr>
        <w:t xml:space="preserve"> </w:t>
      </w:r>
      <w:r w:rsidRPr="002B016D">
        <w:rPr>
          <w:szCs w:val="24"/>
        </w:rPr>
        <w:t xml:space="preserve">The resident exclusion is not limited to one property. </w:t>
      </w:r>
      <w:r>
        <w:rPr>
          <w:szCs w:val="24"/>
        </w:rPr>
        <w:t xml:space="preserve"> </w:t>
      </w:r>
      <w:r w:rsidRPr="002B016D">
        <w:rPr>
          <w:szCs w:val="24"/>
        </w:rPr>
        <w:t>A person may use the exception for both their main home as well as their bach or holiday house.</w:t>
      </w:r>
      <w:r>
        <w:rPr>
          <w:szCs w:val="24"/>
        </w:rPr>
        <w:t xml:space="preserve"> </w:t>
      </w:r>
      <w:r w:rsidRPr="002B016D">
        <w:rPr>
          <w:szCs w:val="24"/>
        </w:rPr>
        <w:t xml:space="preserve"> In addition, a person can use trusts to obtain the residential exclusion a multitude of times for properties that the person does not live in.</w:t>
      </w:r>
    </w:p>
    <w:p w:rsidR="002B016D" w:rsidRPr="002B016D" w:rsidRDefault="002B016D" w:rsidP="002B016D">
      <w:pPr>
        <w:rPr>
          <w:szCs w:val="24"/>
        </w:rPr>
      </w:pPr>
    </w:p>
    <w:p w:rsidR="002B016D" w:rsidRPr="002B016D" w:rsidRDefault="002B016D" w:rsidP="002B016D">
      <w:pPr>
        <w:rPr>
          <w:szCs w:val="24"/>
        </w:rPr>
      </w:pPr>
      <w:r w:rsidRPr="002B016D">
        <w:rPr>
          <w:szCs w:val="24"/>
        </w:rPr>
        <w:t>It is the policy intent that a person can only use the main home exception in the bright-line test for one property at a time.</w:t>
      </w:r>
      <w:r>
        <w:rPr>
          <w:szCs w:val="24"/>
        </w:rPr>
        <w:t xml:space="preserve"> </w:t>
      </w:r>
      <w:r w:rsidRPr="002B016D">
        <w:rPr>
          <w:szCs w:val="24"/>
        </w:rPr>
        <w:t xml:space="preserve"> As a result, the proposed main home exception in the bright-line test differs from the current residential exclusion as it can only be used for one property at a time.</w:t>
      </w:r>
    </w:p>
    <w:p w:rsidR="00D95FF8" w:rsidRPr="00DB4CC5" w:rsidRDefault="00D95FF8" w:rsidP="00D95FF8">
      <w:pPr>
        <w:rPr>
          <w:lang w:val="en-NZ"/>
        </w:rPr>
      </w:pPr>
    </w:p>
    <w:p w:rsidR="00D95FF8" w:rsidRPr="00DB4CC5" w:rsidRDefault="00D95FF8" w:rsidP="00D95FF8">
      <w:pPr>
        <w:pStyle w:val="Heading2"/>
        <w:rPr>
          <w:lang w:val="en-NZ"/>
        </w:rPr>
      </w:pPr>
      <w:r w:rsidRPr="00DB4CC5">
        <w:rPr>
          <w:lang w:val="en-NZ"/>
        </w:rPr>
        <w:t>Recommendation</w:t>
      </w:r>
    </w:p>
    <w:p w:rsidR="00D95FF8" w:rsidRPr="00DB4CC5" w:rsidRDefault="00D95FF8" w:rsidP="00D95FF8">
      <w:pPr>
        <w:rPr>
          <w:lang w:val="en-NZ"/>
        </w:rPr>
      </w:pPr>
    </w:p>
    <w:p w:rsidR="00D95FF8" w:rsidRPr="00DB4CC5" w:rsidRDefault="00D95FF8" w:rsidP="00D95FF8">
      <w:pPr>
        <w:rPr>
          <w:lang w:val="en-NZ"/>
        </w:rPr>
      </w:pPr>
      <w:r w:rsidRPr="00DB4CC5">
        <w:rPr>
          <w:lang w:val="en-NZ"/>
        </w:rPr>
        <w:t xml:space="preserve">That the submission be </w:t>
      </w:r>
      <w:r w:rsidR="00396767">
        <w:rPr>
          <w:lang w:val="en-NZ"/>
        </w:rPr>
        <w:t>declined.</w:t>
      </w:r>
    </w:p>
    <w:p w:rsidR="005316E3" w:rsidRPr="00DB4CC5" w:rsidRDefault="005316E3" w:rsidP="005316E3">
      <w:pPr>
        <w:pBdr>
          <w:bottom w:val="single" w:sz="4" w:space="1" w:color="auto"/>
        </w:pBdr>
        <w:rPr>
          <w:lang w:val="en-NZ"/>
        </w:rPr>
      </w:pPr>
    </w:p>
    <w:p w:rsidR="005316E3" w:rsidRDefault="005316E3" w:rsidP="005316E3">
      <w:pPr>
        <w:rPr>
          <w:lang w:val="en-NZ"/>
        </w:rPr>
      </w:pPr>
    </w:p>
    <w:p w:rsidR="0065103F" w:rsidRDefault="0065103F">
      <w:pPr>
        <w:jc w:val="left"/>
        <w:rPr>
          <w:b/>
          <w:sz w:val="26"/>
          <w:lang w:val="en-NZ"/>
        </w:rPr>
      </w:pPr>
      <w:r>
        <w:rPr>
          <w:lang w:val="en-NZ"/>
        </w:rPr>
        <w:br w:type="page"/>
      </w:r>
    </w:p>
    <w:p w:rsidR="005316E3" w:rsidRPr="00DB4CC5" w:rsidRDefault="005316E3" w:rsidP="005316E3">
      <w:pPr>
        <w:pStyle w:val="Heading5"/>
        <w:ind w:left="794" w:hanging="794"/>
        <w:rPr>
          <w:lang w:val="en-NZ"/>
        </w:rPr>
      </w:pPr>
      <w:bookmarkStart w:id="44" w:name="_Toc432411932"/>
      <w:r w:rsidRPr="00DB4CC5">
        <w:rPr>
          <w:lang w:val="en-NZ"/>
        </w:rPr>
        <w:t>Issue:</w:t>
      </w:r>
      <w:r w:rsidRPr="00DB4CC5">
        <w:rPr>
          <w:lang w:val="en-NZ"/>
        </w:rPr>
        <w:tab/>
      </w:r>
      <w:r>
        <w:rPr>
          <w:lang w:val="en-NZ"/>
        </w:rPr>
        <w:t>Lifestyle blocks</w:t>
      </w:r>
      <w:bookmarkEnd w:id="44"/>
    </w:p>
    <w:p w:rsidR="005316E3" w:rsidRPr="00DB4CC5" w:rsidRDefault="005316E3" w:rsidP="005316E3">
      <w:pPr>
        <w:rPr>
          <w:lang w:val="en-NZ"/>
        </w:rPr>
      </w:pPr>
    </w:p>
    <w:p w:rsidR="005316E3" w:rsidRPr="00DB4CC5" w:rsidRDefault="005316E3" w:rsidP="005316E3">
      <w:pPr>
        <w:rPr>
          <w:lang w:val="en-NZ"/>
        </w:rPr>
      </w:pPr>
    </w:p>
    <w:p w:rsidR="005316E3" w:rsidRPr="00DB4CC5" w:rsidRDefault="005316E3" w:rsidP="005316E3">
      <w:pPr>
        <w:pStyle w:val="Heading2"/>
        <w:rPr>
          <w:lang w:val="en-NZ"/>
        </w:rPr>
      </w:pPr>
      <w:r w:rsidRPr="00DB4CC5">
        <w:rPr>
          <w:lang w:val="en-NZ"/>
        </w:rPr>
        <w:t>Submission</w:t>
      </w:r>
    </w:p>
    <w:p w:rsidR="005316E3" w:rsidRPr="00DB4CC5" w:rsidRDefault="005316E3" w:rsidP="005316E3">
      <w:pPr>
        <w:pStyle w:val="Heading4"/>
        <w:rPr>
          <w:lang w:val="en-NZ"/>
        </w:rPr>
      </w:pPr>
      <w:r>
        <w:rPr>
          <w:lang w:val="en-NZ"/>
        </w:rPr>
        <w:t>(Chartered Accountants Australia and New Zealand</w:t>
      </w:r>
      <w:r w:rsidR="00915503">
        <w:rPr>
          <w:lang w:val="en-NZ"/>
        </w:rPr>
        <w:t xml:space="preserve">, </w:t>
      </w:r>
      <w:proofErr w:type="spellStart"/>
      <w:r w:rsidR="00915503">
        <w:rPr>
          <w:lang w:val="en-NZ"/>
        </w:rPr>
        <w:t>nsaTax</w:t>
      </w:r>
      <w:proofErr w:type="spellEnd"/>
      <w:r>
        <w:rPr>
          <w:lang w:val="en-NZ"/>
        </w:rPr>
        <w:t>)</w:t>
      </w:r>
    </w:p>
    <w:p w:rsidR="005316E3" w:rsidRPr="00DB4CC5" w:rsidRDefault="005316E3" w:rsidP="005316E3">
      <w:pPr>
        <w:tabs>
          <w:tab w:val="left" w:pos="5295"/>
        </w:tabs>
        <w:rPr>
          <w:lang w:val="en-NZ"/>
        </w:rPr>
      </w:pPr>
    </w:p>
    <w:p w:rsidR="005316E3" w:rsidRDefault="00503F38" w:rsidP="005316E3">
      <w:pPr>
        <w:rPr>
          <w:lang w:val="en-NZ"/>
        </w:rPr>
      </w:pPr>
      <w:r>
        <w:rPr>
          <w:lang w:val="en-NZ"/>
        </w:rPr>
        <w:t>If the submission to include lifestyle blocks within the farmland exclusion</w:t>
      </w:r>
      <w:r w:rsidR="005316E3">
        <w:rPr>
          <w:lang w:val="en-NZ"/>
        </w:rPr>
        <w:t xml:space="preserve"> is not accepted, it should be made clear in guidance that the main home exclusion can be applied in appropriate circumstances to lifestyle blocks that are ineligible for the farmland exclusion. </w:t>
      </w:r>
      <w:r w:rsidR="00915503">
        <w:rPr>
          <w:lang w:val="en-NZ"/>
        </w:rPr>
        <w:t xml:space="preserve"> </w:t>
      </w:r>
      <w:r w:rsidR="00915503" w:rsidRPr="009B557D">
        <w:rPr>
          <w:i/>
          <w:lang w:val="en-NZ"/>
        </w:rPr>
        <w:t>(C</w:t>
      </w:r>
      <w:r w:rsidR="00C15A41">
        <w:rPr>
          <w:i/>
          <w:lang w:val="en-NZ"/>
        </w:rPr>
        <w:t xml:space="preserve">hartered </w:t>
      </w:r>
      <w:r w:rsidR="00915503" w:rsidRPr="009B557D">
        <w:rPr>
          <w:i/>
          <w:lang w:val="en-NZ"/>
        </w:rPr>
        <w:t>A</w:t>
      </w:r>
      <w:r w:rsidR="00C15A41">
        <w:rPr>
          <w:i/>
          <w:lang w:val="en-NZ"/>
        </w:rPr>
        <w:t xml:space="preserve">ccountants </w:t>
      </w:r>
      <w:r w:rsidR="00915503" w:rsidRPr="009B557D">
        <w:rPr>
          <w:i/>
          <w:lang w:val="en-NZ"/>
        </w:rPr>
        <w:t>A</w:t>
      </w:r>
      <w:r w:rsidR="00C15A41">
        <w:rPr>
          <w:i/>
          <w:lang w:val="en-NZ"/>
        </w:rPr>
        <w:t xml:space="preserve">ustralia and </w:t>
      </w:r>
      <w:r w:rsidR="00915503" w:rsidRPr="009B557D">
        <w:rPr>
          <w:i/>
          <w:lang w:val="en-NZ"/>
        </w:rPr>
        <w:t>N</w:t>
      </w:r>
      <w:r w:rsidR="00C15A41">
        <w:rPr>
          <w:i/>
          <w:lang w:val="en-NZ"/>
        </w:rPr>
        <w:t xml:space="preserve">ew </w:t>
      </w:r>
      <w:r w:rsidR="00915503" w:rsidRPr="009B557D">
        <w:rPr>
          <w:i/>
          <w:lang w:val="en-NZ"/>
        </w:rPr>
        <w:t>Z</w:t>
      </w:r>
      <w:r w:rsidR="00C15A41">
        <w:rPr>
          <w:i/>
          <w:lang w:val="en-NZ"/>
        </w:rPr>
        <w:t>ealand</w:t>
      </w:r>
      <w:r w:rsidR="00915503" w:rsidRPr="009B557D">
        <w:rPr>
          <w:i/>
          <w:lang w:val="en-NZ"/>
        </w:rPr>
        <w:t>)</w:t>
      </w:r>
    </w:p>
    <w:p w:rsidR="00915503" w:rsidRDefault="00915503" w:rsidP="005316E3">
      <w:pPr>
        <w:rPr>
          <w:lang w:val="en-NZ"/>
        </w:rPr>
      </w:pPr>
    </w:p>
    <w:p w:rsidR="00915503" w:rsidRPr="00DB4CC5" w:rsidRDefault="00915503" w:rsidP="005316E3">
      <w:pPr>
        <w:rPr>
          <w:lang w:val="en-NZ"/>
        </w:rPr>
      </w:pPr>
      <w:r>
        <w:rPr>
          <w:lang w:val="en-NZ"/>
        </w:rPr>
        <w:t>The main home exclusion should be clarified to ensure that lifestyle blocks are covered by the proposed exclusion</w:t>
      </w:r>
      <w:r w:rsidR="00F16E3E">
        <w:rPr>
          <w:lang w:val="en-NZ"/>
        </w:rPr>
        <w:t>.  T</w:t>
      </w:r>
      <w:r>
        <w:rPr>
          <w:lang w:val="en-NZ"/>
        </w:rPr>
        <w:t xml:space="preserve">he vast majority of lifestyle blocks are not likely to meet the farmland exclusion. </w:t>
      </w:r>
      <w:r w:rsidRPr="009B557D">
        <w:rPr>
          <w:i/>
          <w:lang w:val="en-NZ"/>
        </w:rPr>
        <w:t>(</w:t>
      </w:r>
      <w:proofErr w:type="spellStart"/>
      <w:proofErr w:type="gramStart"/>
      <w:r w:rsidRPr="009B557D">
        <w:rPr>
          <w:i/>
          <w:lang w:val="en-NZ"/>
        </w:rPr>
        <w:t>nsaTax</w:t>
      </w:r>
      <w:proofErr w:type="spellEnd"/>
      <w:proofErr w:type="gramEnd"/>
      <w:r w:rsidRPr="009B557D">
        <w:rPr>
          <w:i/>
          <w:lang w:val="en-NZ"/>
        </w:rPr>
        <w:t>)</w:t>
      </w:r>
    </w:p>
    <w:p w:rsidR="005316E3" w:rsidRPr="00DB4CC5" w:rsidRDefault="005316E3" w:rsidP="005316E3">
      <w:pPr>
        <w:rPr>
          <w:lang w:val="en-NZ"/>
        </w:rPr>
      </w:pPr>
    </w:p>
    <w:p w:rsidR="005316E3" w:rsidRPr="00DB4CC5" w:rsidRDefault="005316E3" w:rsidP="005316E3">
      <w:pPr>
        <w:pStyle w:val="Heading2"/>
        <w:rPr>
          <w:lang w:val="en-NZ"/>
        </w:rPr>
      </w:pPr>
      <w:r w:rsidRPr="00DB4CC5">
        <w:rPr>
          <w:lang w:val="en-NZ"/>
        </w:rPr>
        <w:t>Comment</w:t>
      </w:r>
    </w:p>
    <w:p w:rsidR="005316E3" w:rsidRDefault="005316E3" w:rsidP="005316E3">
      <w:pPr>
        <w:rPr>
          <w:lang w:val="en-NZ"/>
        </w:rPr>
      </w:pPr>
    </w:p>
    <w:p w:rsidR="00503F38" w:rsidRDefault="00503F38" w:rsidP="005316E3">
      <w:pPr>
        <w:rPr>
          <w:lang w:val="en-NZ"/>
        </w:rPr>
      </w:pPr>
      <w:r>
        <w:rPr>
          <w:lang w:val="en-NZ"/>
        </w:rPr>
        <w:t xml:space="preserve">In </w:t>
      </w:r>
      <w:r w:rsidR="0019735C">
        <w:rPr>
          <w:lang w:val="en-NZ"/>
        </w:rPr>
        <w:t>some</w:t>
      </w:r>
      <w:r>
        <w:rPr>
          <w:lang w:val="en-NZ"/>
        </w:rPr>
        <w:t xml:space="preserve"> circumstances lifestyle blocks will be eligible for the main home exclusion.</w:t>
      </w:r>
    </w:p>
    <w:p w:rsidR="00503F38" w:rsidRDefault="00503F38" w:rsidP="005316E3">
      <w:pPr>
        <w:rPr>
          <w:lang w:val="en-NZ"/>
        </w:rPr>
      </w:pPr>
    </w:p>
    <w:p w:rsidR="00503F38" w:rsidRPr="00DB4CC5" w:rsidRDefault="00503F38" w:rsidP="005316E3">
      <w:pPr>
        <w:rPr>
          <w:lang w:val="en-NZ"/>
        </w:rPr>
      </w:pPr>
      <w:r>
        <w:rPr>
          <w:lang w:val="en-NZ"/>
        </w:rPr>
        <w:t>An example of this is provided in this Officials</w:t>
      </w:r>
      <w:r w:rsidR="005D15DA">
        <w:rPr>
          <w:lang w:val="en-NZ"/>
        </w:rPr>
        <w:t>’</w:t>
      </w:r>
      <w:r>
        <w:rPr>
          <w:lang w:val="en-NZ"/>
        </w:rPr>
        <w:t xml:space="preserve"> Report</w:t>
      </w:r>
      <w:r w:rsidR="00396767">
        <w:rPr>
          <w:lang w:val="en-NZ"/>
        </w:rPr>
        <w:t xml:space="preserve"> (</w:t>
      </w:r>
      <w:r w:rsidR="00056DEF">
        <w:rPr>
          <w:i/>
          <w:lang w:val="en-NZ"/>
        </w:rPr>
        <w:t>Example Scenarios</w:t>
      </w:r>
      <w:r w:rsidR="00396767">
        <w:rPr>
          <w:lang w:val="en-NZ"/>
        </w:rPr>
        <w:t>)</w:t>
      </w:r>
      <w:r w:rsidR="00F16E3E">
        <w:rPr>
          <w:lang w:val="en-NZ"/>
        </w:rPr>
        <w:t>.  F</w:t>
      </w:r>
      <w:r w:rsidR="00390211">
        <w:rPr>
          <w:lang w:val="en-NZ"/>
        </w:rPr>
        <w:t>urther examples are also available in the special report</w:t>
      </w:r>
      <w:r w:rsidR="00056DEF">
        <w:rPr>
          <w:lang w:val="en-NZ"/>
        </w:rPr>
        <w:t xml:space="preserve"> published at </w:t>
      </w:r>
      <w:hyperlink r:id="rId16" w:history="1">
        <w:r w:rsidR="00A5348C" w:rsidRPr="00933437">
          <w:rPr>
            <w:rStyle w:val="Hyperlink"/>
            <w:lang w:val="en-NZ"/>
          </w:rPr>
          <w:t>www.taxpolicy.ird.govt.nz</w:t>
        </w:r>
      </w:hyperlink>
      <w:r w:rsidR="00610822">
        <w:rPr>
          <w:lang w:val="en-NZ"/>
        </w:rPr>
        <w:t xml:space="preserve"> </w:t>
      </w:r>
      <w:r w:rsidR="00390211">
        <w:rPr>
          <w:lang w:val="en-NZ"/>
        </w:rPr>
        <w:t>for the recent Land Transfer Amendment Act</w:t>
      </w:r>
      <w:r w:rsidR="00056DEF">
        <w:rPr>
          <w:lang w:val="en-NZ"/>
        </w:rPr>
        <w:t xml:space="preserve"> 2015</w:t>
      </w:r>
      <w:r w:rsidR="00F16E3E">
        <w:rPr>
          <w:lang w:val="en-NZ"/>
        </w:rPr>
        <w:t>.  W</w:t>
      </w:r>
      <w:r>
        <w:rPr>
          <w:lang w:val="en-NZ"/>
        </w:rPr>
        <w:t>e will also provide</w:t>
      </w:r>
      <w:r w:rsidR="00CE7102">
        <w:rPr>
          <w:lang w:val="en-NZ"/>
        </w:rPr>
        <w:t xml:space="preserve"> additional</w:t>
      </w:r>
      <w:r>
        <w:rPr>
          <w:lang w:val="en-NZ"/>
        </w:rPr>
        <w:t xml:space="preserve"> guidance in the </w:t>
      </w:r>
      <w:r w:rsidRPr="009B557D">
        <w:rPr>
          <w:i/>
          <w:lang w:val="en-NZ"/>
        </w:rPr>
        <w:t>Tax Information Bulletin</w:t>
      </w:r>
      <w:r w:rsidR="007A279C">
        <w:rPr>
          <w:lang w:val="en-NZ"/>
        </w:rPr>
        <w:t xml:space="preserve"> for this bill</w:t>
      </w:r>
      <w:r w:rsidR="005D15DA">
        <w:rPr>
          <w:lang w:val="en-NZ"/>
        </w:rPr>
        <w:t xml:space="preserve"> after enactment</w:t>
      </w:r>
      <w:r>
        <w:rPr>
          <w:lang w:val="en-NZ"/>
        </w:rPr>
        <w:t>.</w:t>
      </w:r>
    </w:p>
    <w:p w:rsidR="005316E3" w:rsidRPr="00DB4CC5" w:rsidRDefault="005316E3" w:rsidP="005316E3">
      <w:pPr>
        <w:rPr>
          <w:lang w:val="en-NZ"/>
        </w:rPr>
      </w:pPr>
    </w:p>
    <w:p w:rsidR="005316E3" w:rsidRPr="00DB4CC5" w:rsidRDefault="005316E3" w:rsidP="005316E3">
      <w:pPr>
        <w:pStyle w:val="Heading2"/>
        <w:rPr>
          <w:lang w:val="en-NZ"/>
        </w:rPr>
      </w:pPr>
      <w:r w:rsidRPr="00DB4CC5">
        <w:rPr>
          <w:lang w:val="en-NZ"/>
        </w:rPr>
        <w:t>Recommendation</w:t>
      </w:r>
    </w:p>
    <w:p w:rsidR="005316E3" w:rsidRPr="00DB4CC5" w:rsidRDefault="005316E3" w:rsidP="005316E3">
      <w:pPr>
        <w:rPr>
          <w:lang w:val="en-NZ"/>
        </w:rPr>
      </w:pPr>
    </w:p>
    <w:p w:rsidR="005316E3" w:rsidRPr="00DB4CC5" w:rsidRDefault="005316E3" w:rsidP="005316E3">
      <w:pPr>
        <w:rPr>
          <w:lang w:val="en-NZ"/>
        </w:rPr>
      </w:pPr>
      <w:r w:rsidRPr="00DB4CC5">
        <w:rPr>
          <w:lang w:val="en-NZ"/>
        </w:rPr>
        <w:t xml:space="preserve">That the submission be </w:t>
      </w:r>
      <w:r w:rsidR="00503F38">
        <w:rPr>
          <w:lang w:val="en-NZ"/>
        </w:rPr>
        <w:t>noted.</w:t>
      </w:r>
    </w:p>
    <w:p w:rsidR="005E33C5" w:rsidRPr="00DB4CC5" w:rsidRDefault="005E33C5" w:rsidP="005E33C5">
      <w:pPr>
        <w:pBdr>
          <w:bottom w:val="single" w:sz="4" w:space="1" w:color="auto"/>
        </w:pBdr>
        <w:rPr>
          <w:lang w:val="en-NZ"/>
        </w:rPr>
      </w:pPr>
    </w:p>
    <w:p w:rsidR="005E33C5" w:rsidRDefault="005E33C5" w:rsidP="005E33C5">
      <w:pPr>
        <w:jc w:val="left"/>
        <w:rPr>
          <w:sz w:val="26"/>
          <w:lang w:val="en-NZ"/>
        </w:rPr>
      </w:pPr>
    </w:p>
    <w:p w:rsidR="007E7996" w:rsidRPr="007E7996" w:rsidRDefault="007E7996" w:rsidP="005E33C5">
      <w:pPr>
        <w:jc w:val="left"/>
        <w:rPr>
          <w:sz w:val="26"/>
          <w:lang w:val="en-NZ"/>
        </w:rPr>
      </w:pPr>
    </w:p>
    <w:p w:rsidR="005E33C5" w:rsidRPr="00DB4CC5" w:rsidRDefault="005E33C5" w:rsidP="005E33C5">
      <w:pPr>
        <w:pStyle w:val="Heading5"/>
        <w:ind w:left="794" w:hanging="794"/>
        <w:rPr>
          <w:lang w:val="en-NZ"/>
        </w:rPr>
      </w:pPr>
      <w:bookmarkStart w:id="45" w:name="_Toc432411933"/>
      <w:r w:rsidRPr="00DB4CC5">
        <w:rPr>
          <w:lang w:val="en-NZ"/>
        </w:rPr>
        <w:t>Issue:</w:t>
      </w:r>
      <w:r w:rsidRPr="00DB4CC5">
        <w:rPr>
          <w:lang w:val="en-NZ"/>
        </w:rPr>
        <w:tab/>
      </w:r>
      <w:r>
        <w:rPr>
          <w:lang w:val="en-NZ"/>
        </w:rPr>
        <w:t>Legislatively detailing main home exception</w:t>
      </w:r>
      <w:bookmarkEnd w:id="45"/>
    </w:p>
    <w:p w:rsidR="005E33C5" w:rsidRPr="00DB4CC5" w:rsidRDefault="005E33C5" w:rsidP="005E33C5">
      <w:pPr>
        <w:rPr>
          <w:lang w:val="en-NZ"/>
        </w:rPr>
      </w:pPr>
    </w:p>
    <w:p w:rsidR="005E33C5" w:rsidRPr="00DB4CC5" w:rsidRDefault="005E33C5" w:rsidP="005E33C5">
      <w:pPr>
        <w:rPr>
          <w:lang w:val="en-NZ"/>
        </w:rPr>
      </w:pPr>
    </w:p>
    <w:p w:rsidR="005E33C5" w:rsidRPr="00DB4CC5" w:rsidRDefault="005E33C5" w:rsidP="005E33C5">
      <w:pPr>
        <w:pStyle w:val="Heading2"/>
        <w:rPr>
          <w:lang w:val="en-NZ"/>
        </w:rPr>
      </w:pPr>
      <w:r w:rsidRPr="00DB4CC5">
        <w:rPr>
          <w:lang w:val="en-NZ"/>
        </w:rPr>
        <w:t>Submission</w:t>
      </w:r>
    </w:p>
    <w:p w:rsidR="005E33C5" w:rsidRPr="00DB4CC5" w:rsidRDefault="005E33C5" w:rsidP="005E33C5">
      <w:pPr>
        <w:pStyle w:val="Heading4"/>
        <w:rPr>
          <w:lang w:val="en-NZ"/>
        </w:rPr>
      </w:pPr>
      <w:r>
        <w:rPr>
          <w:lang w:val="en-NZ"/>
        </w:rPr>
        <w:t>(Chartered Accountants Australia and New Zealand, New Zealand Law Society, EY, KPMG)</w:t>
      </w:r>
    </w:p>
    <w:p w:rsidR="005E33C5" w:rsidRPr="00DB4CC5" w:rsidRDefault="005E33C5" w:rsidP="005E33C5">
      <w:pPr>
        <w:tabs>
          <w:tab w:val="left" w:pos="5295"/>
        </w:tabs>
        <w:rPr>
          <w:lang w:val="en-NZ"/>
        </w:rPr>
      </w:pPr>
    </w:p>
    <w:p w:rsidR="005E33C5" w:rsidRDefault="005E33C5" w:rsidP="005E33C5">
      <w:pPr>
        <w:rPr>
          <w:lang w:val="en-NZ"/>
        </w:rPr>
      </w:pPr>
      <w:r>
        <w:rPr>
          <w:lang w:val="en-NZ"/>
        </w:rPr>
        <w:t>Several submissions were received stating that specific features of the main home exception should be legislatively detailed.</w:t>
      </w:r>
    </w:p>
    <w:p w:rsidR="005E33C5" w:rsidRDefault="005E33C5" w:rsidP="005E33C5">
      <w:pPr>
        <w:rPr>
          <w:lang w:val="en-NZ"/>
        </w:rPr>
      </w:pPr>
    </w:p>
    <w:p w:rsidR="005E33C5" w:rsidRDefault="005E33C5" w:rsidP="005E33C5">
      <w:pPr>
        <w:rPr>
          <w:lang w:val="en-NZ"/>
        </w:rPr>
      </w:pPr>
      <w:r>
        <w:rPr>
          <w:lang w:val="en-NZ"/>
        </w:rPr>
        <w:t xml:space="preserve">In particular, submitters stated that the factors determining a person’s “greatest connection” should be legislatively defined as the term is uncertain and the outline of them in the commentary to the bill and </w:t>
      </w:r>
      <w:r w:rsidRPr="008C4280">
        <w:rPr>
          <w:i/>
          <w:lang w:val="en-NZ"/>
        </w:rPr>
        <w:t>Tax Information Bulletin</w:t>
      </w:r>
      <w:r>
        <w:rPr>
          <w:lang w:val="en-NZ"/>
        </w:rPr>
        <w:t xml:space="preserve"> do not have determinative status.</w:t>
      </w:r>
    </w:p>
    <w:p w:rsidR="005E33C5" w:rsidRDefault="005E33C5" w:rsidP="005E33C5">
      <w:pPr>
        <w:rPr>
          <w:lang w:val="en-NZ"/>
        </w:rPr>
      </w:pPr>
    </w:p>
    <w:p w:rsidR="005E33C5" w:rsidRDefault="005E33C5" w:rsidP="005E33C5">
      <w:pPr>
        <w:rPr>
          <w:lang w:val="en-NZ"/>
        </w:rPr>
      </w:pPr>
      <w:r>
        <w:rPr>
          <w:lang w:val="en-NZ"/>
        </w:rPr>
        <w:t>Submissions were also received seeking legislative clarification of the treatment of co-owners and legislative reflection of how the main home exclusion is shown to apply in circumstances outlined in the commentary (for example, page 13 of the commentary outlining when the main home may be used for two properties at the same time).</w:t>
      </w:r>
    </w:p>
    <w:p w:rsidR="005E33C5" w:rsidRPr="00DB4CC5" w:rsidRDefault="005E33C5" w:rsidP="005E33C5">
      <w:pPr>
        <w:rPr>
          <w:lang w:val="en-NZ"/>
        </w:rPr>
      </w:pPr>
    </w:p>
    <w:p w:rsidR="005E33C5" w:rsidRPr="00DB4CC5" w:rsidRDefault="005E33C5" w:rsidP="005E33C5">
      <w:pPr>
        <w:pStyle w:val="Heading2"/>
        <w:rPr>
          <w:lang w:val="en-NZ"/>
        </w:rPr>
      </w:pPr>
      <w:r w:rsidRPr="00DB4CC5">
        <w:rPr>
          <w:lang w:val="en-NZ"/>
        </w:rPr>
        <w:t>Comment</w:t>
      </w:r>
    </w:p>
    <w:p w:rsidR="005E33C5" w:rsidRPr="00DB4CC5" w:rsidRDefault="005E33C5" w:rsidP="005E33C5">
      <w:pPr>
        <w:rPr>
          <w:lang w:val="en-NZ"/>
        </w:rPr>
      </w:pPr>
    </w:p>
    <w:p w:rsidR="005E33C5" w:rsidRDefault="005E33C5" w:rsidP="005E33C5">
      <w:pPr>
        <w:rPr>
          <w:lang w:val="en-NZ"/>
        </w:rPr>
      </w:pPr>
      <w:r>
        <w:rPr>
          <w:lang w:val="en-NZ"/>
        </w:rPr>
        <w:t>Provisions such as the main home exception will apply in a wide number of circumstances and living arrangements.</w:t>
      </w:r>
    </w:p>
    <w:p w:rsidR="005E33C5" w:rsidRDefault="005E33C5" w:rsidP="005E33C5">
      <w:pPr>
        <w:rPr>
          <w:lang w:val="en-NZ"/>
        </w:rPr>
      </w:pPr>
    </w:p>
    <w:p w:rsidR="005E33C5" w:rsidRDefault="005E33C5" w:rsidP="005E33C5">
      <w:pPr>
        <w:rPr>
          <w:lang w:val="en-NZ"/>
        </w:rPr>
      </w:pPr>
      <w:r>
        <w:rPr>
          <w:lang w:val="en-NZ"/>
        </w:rPr>
        <w:t xml:space="preserve">It is neither feasible nor desirable for the legislation to </w:t>
      </w:r>
      <w:r w:rsidR="007713E5">
        <w:rPr>
          <w:lang w:val="en-NZ"/>
        </w:rPr>
        <w:t>prescribe</w:t>
      </w:r>
      <w:r>
        <w:rPr>
          <w:lang w:val="en-NZ"/>
        </w:rPr>
        <w:t xml:space="preserve"> every possible situation</w:t>
      </w:r>
      <w:r w:rsidR="00F16E3E">
        <w:rPr>
          <w:lang w:val="en-NZ"/>
        </w:rPr>
        <w:t>.  T</w:t>
      </w:r>
      <w:r>
        <w:rPr>
          <w:lang w:val="en-NZ"/>
        </w:rPr>
        <w:t>rying to provide detailed rules for every situation can lead to the legislation not applying appropriately.</w:t>
      </w:r>
    </w:p>
    <w:p w:rsidR="005E33C5" w:rsidRDefault="005E33C5" w:rsidP="005E33C5">
      <w:pPr>
        <w:rPr>
          <w:lang w:val="en-NZ"/>
        </w:rPr>
      </w:pPr>
    </w:p>
    <w:p w:rsidR="005E33C5" w:rsidRDefault="005E33C5" w:rsidP="005E33C5">
      <w:pPr>
        <w:rPr>
          <w:lang w:val="en-NZ"/>
        </w:rPr>
      </w:pPr>
      <w:r>
        <w:rPr>
          <w:lang w:val="en-NZ"/>
        </w:rPr>
        <w:t>Instead we prefer to apply general rules and provide guidance on how they work.</w:t>
      </w:r>
    </w:p>
    <w:p w:rsidR="005E33C5" w:rsidRPr="00DB4CC5" w:rsidRDefault="005E33C5" w:rsidP="005E33C5">
      <w:pPr>
        <w:rPr>
          <w:lang w:val="en-NZ"/>
        </w:rPr>
      </w:pPr>
    </w:p>
    <w:p w:rsidR="005E33C5" w:rsidRPr="00DB4CC5" w:rsidRDefault="005E33C5" w:rsidP="005E33C5">
      <w:pPr>
        <w:pStyle w:val="Heading2"/>
        <w:rPr>
          <w:lang w:val="en-NZ"/>
        </w:rPr>
      </w:pPr>
      <w:r w:rsidRPr="00DB4CC5">
        <w:rPr>
          <w:lang w:val="en-NZ"/>
        </w:rPr>
        <w:t>Recommendation</w:t>
      </w:r>
    </w:p>
    <w:p w:rsidR="005E33C5" w:rsidRPr="00DB4CC5" w:rsidRDefault="005E33C5" w:rsidP="005E33C5">
      <w:pPr>
        <w:rPr>
          <w:lang w:val="en-NZ"/>
        </w:rPr>
      </w:pPr>
    </w:p>
    <w:p w:rsidR="005E33C5" w:rsidRDefault="005E33C5" w:rsidP="005E33C5">
      <w:pPr>
        <w:rPr>
          <w:lang w:val="en-NZ"/>
        </w:rPr>
      </w:pPr>
      <w:r w:rsidRPr="00DB4CC5">
        <w:rPr>
          <w:lang w:val="en-NZ"/>
        </w:rPr>
        <w:t xml:space="preserve">That the submission be </w:t>
      </w:r>
      <w:r>
        <w:rPr>
          <w:lang w:val="en-NZ"/>
        </w:rPr>
        <w:t>declined.</w:t>
      </w:r>
    </w:p>
    <w:p w:rsidR="005E33C5" w:rsidRPr="00DB4CC5" w:rsidRDefault="005E33C5" w:rsidP="00454F1C">
      <w:pPr>
        <w:pBdr>
          <w:bottom w:val="single" w:sz="4" w:space="1" w:color="auto"/>
        </w:pBdr>
        <w:rPr>
          <w:lang w:val="en-NZ"/>
        </w:rPr>
      </w:pPr>
    </w:p>
    <w:p w:rsidR="00454F1C" w:rsidRDefault="00454F1C" w:rsidP="00454F1C">
      <w:pPr>
        <w:rPr>
          <w:lang w:val="en-NZ"/>
        </w:rPr>
      </w:pPr>
    </w:p>
    <w:p w:rsidR="007E7996" w:rsidRPr="00DB4CC5" w:rsidRDefault="007E7996" w:rsidP="00454F1C">
      <w:pPr>
        <w:rPr>
          <w:lang w:val="en-NZ"/>
        </w:rPr>
      </w:pPr>
    </w:p>
    <w:p w:rsidR="00454F1C" w:rsidRPr="00DB4CC5" w:rsidRDefault="00454F1C" w:rsidP="00454F1C">
      <w:pPr>
        <w:pStyle w:val="Heading5"/>
        <w:ind w:left="794" w:hanging="794"/>
        <w:rPr>
          <w:lang w:val="en-NZ"/>
        </w:rPr>
      </w:pPr>
      <w:bookmarkStart w:id="46" w:name="_Toc432411934"/>
      <w:r w:rsidRPr="00DB4CC5">
        <w:rPr>
          <w:lang w:val="en-NZ"/>
        </w:rPr>
        <w:t>Issue:</w:t>
      </w:r>
      <w:r w:rsidRPr="00DB4CC5">
        <w:rPr>
          <w:lang w:val="en-NZ"/>
        </w:rPr>
        <w:tab/>
      </w:r>
      <w:r>
        <w:rPr>
          <w:lang w:val="en-NZ"/>
        </w:rPr>
        <w:t>Detailed guidance required</w:t>
      </w:r>
      <w:bookmarkEnd w:id="46"/>
    </w:p>
    <w:p w:rsidR="00454F1C" w:rsidRPr="00DB4CC5" w:rsidRDefault="00454F1C" w:rsidP="00454F1C">
      <w:pPr>
        <w:rPr>
          <w:lang w:val="en-NZ"/>
        </w:rPr>
      </w:pPr>
    </w:p>
    <w:p w:rsidR="00454F1C" w:rsidRPr="00DB4CC5" w:rsidRDefault="00454F1C" w:rsidP="00454F1C">
      <w:pPr>
        <w:rPr>
          <w:lang w:val="en-NZ"/>
        </w:rPr>
      </w:pPr>
    </w:p>
    <w:p w:rsidR="00454F1C" w:rsidRPr="00DB4CC5" w:rsidRDefault="00454F1C" w:rsidP="00454F1C">
      <w:pPr>
        <w:pStyle w:val="Heading2"/>
        <w:rPr>
          <w:lang w:val="en-NZ"/>
        </w:rPr>
      </w:pPr>
      <w:r w:rsidRPr="00DB4CC5">
        <w:rPr>
          <w:lang w:val="en-NZ"/>
        </w:rPr>
        <w:t>Submission</w:t>
      </w:r>
    </w:p>
    <w:p w:rsidR="00454F1C" w:rsidRPr="00DB4CC5" w:rsidRDefault="00454F1C" w:rsidP="00454F1C">
      <w:pPr>
        <w:pStyle w:val="Heading4"/>
        <w:rPr>
          <w:lang w:val="en-NZ"/>
        </w:rPr>
      </w:pPr>
      <w:r>
        <w:rPr>
          <w:lang w:val="en-NZ"/>
        </w:rPr>
        <w:t>(Chartered Accountants Australia and New Zealand</w:t>
      </w:r>
      <w:r w:rsidR="008F4833">
        <w:rPr>
          <w:lang w:val="en-NZ"/>
        </w:rPr>
        <w:t>, New Zealand Law Society</w:t>
      </w:r>
      <w:r w:rsidR="00EB4ECA">
        <w:rPr>
          <w:lang w:val="en-NZ"/>
        </w:rPr>
        <w:t>, KPMG</w:t>
      </w:r>
      <w:r>
        <w:rPr>
          <w:lang w:val="en-NZ"/>
        </w:rPr>
        <w:t>)</w:t>
      </w:r>
    </w:p>
    <w:p w:rsidR="00454F1C" w:rsidRPr="00DB4CC5" w:rsidRDefault="00454F1C" w:rsidP="00454F1C">
      <w:pPr>
        <w:tabs>
          <w:tab w:val="left" w:pos="5295"/>
        </w:tabs>
        <w:rPr>
          <w:lang w:val="en-NZ"/>
        </w:rPr>
      </w:pPr>
    </w:p>
    <w:p w:rsidR="00454F1C" w:rsidRDefault="00454F1C" w:rsidP="00454F1C">
      <w:pPr>
        <w:rPr>
          <w:lang w:val="en-NZ"/>
        </w:rPr>
      </w:pPr>
      <w:r>
        <w:rPr>
          <w:lang w:val="en-NZ"/>
        </w:rPr>
        <w:t xml:space="preserve">There are several areas that are unclear </w:t>
      </w:r>
      <w:r w:rsidR="0044400D">
        <w:rPr>
          <w:lang w:val="en-NZ"/>
        </w:rPr>
        <w:t xml:space="preserve">about </w:t>
      </w:r>
      <w:r>
        <w:rPr>
          <w:lang w:val="en-NZ"/>
        </w:rPr>
        <w:t>how the main home test will apply</w:t>
      </w:r>
      <w:r w:rsidR="00F16E3E">
        <w:rPr>
          <w:lang w:val="en-NZ"/>
        </w:rPr>
        <w:t>.  D</w:t>
      </w:r>
      <w:r>
        <w:rPr>
          <w:lang w:val="en-NZ"/>
        </w:rPr>
        <w:t>etailed guidance is required on how a person is to determine whether they are able to rely on the main home exclusion</w:t>
      </w:r>
      <w:r w:rsidR="00FD7B5E">
        <w:rPr>
          <w:lang w:val="en-NZ"/>
        </w:rPr>
        <w:t>.</w:t>
      </w:r>
    </w:p>
    <w:p w:rsidR="00B95617" w:rsidRDefault="00B95617" w:rsidP="00454F1C">
      <w:pPr>
        <w:rPr>
          <w:lang w:val="en-NZ"/>
        </w:rPr>
      </w:pPr>
    </w:p>
    <w:p w:rsidR="00B95617" w:rsidRPr="00DB4CC5" w:rsidRDefault="00B95617" w:rsidP="00454F1C">
      <w:pPr>
        <w:rPr>
          <w:lang w:val="en-NZ"/>
        </w:rPr>
      </w:pPr>
      <w:r>
        <w:rPr>
          <w:lang w:val="en-NZ"/>
        </w:rPr>
        <w:t>The commentary</w:t>
      </w:r>
      <w:r w:rsidR="00642FF8">
        <w:rPr>
          <w:lang w:val="en-NZ"/>
        </w:rPr>
        <w:t xml:space="preserve"> to the bill</w:t>
      </w:r>
      <w:r>
        <w:rPr>
          <w:lang w:val="en-NZ"/>
        </w:rPr>
        <w:t xml:space="preserve"> notes that in determining a </w:t>
      </w:r>
      <w:r w:rsidR="00FD2863">
        <w:rPr>
          <w:lang w:val="en-NZ"/>
        </w:rPr>
        <w:t>person’s</w:t>
      </w:r>
      <w:r>
        <w:rPr>
          <w:lang w:val="en-NZ"/>
        </w:rPr>
        <w:t xml:space="preserve"> greatest connection that the factors used to determine a person’s “permanent place of abode” could be used</w:t>
      </w:r>
      <w:r w:rsidR="00F16E3E">
        <w:rPr>
          <w:lang w:val="en-NZ"/>
        </w:rPr>
        <w:t>.  C</w:t>
      </w:r>
      <w:r>
        <w:rPr>
          <w:lang w:val="en-NZ"/>
        </w:rPr>
        <w:t>ase law indicates that this may be difficult to apply in practice.</w:t>
      </w:r>
    </w:p>
    <w:p w:rsidR="00454F1C" w:rsidRPr="00DB4CC5" w:rsidRDefault="00454F1C" w:rsidP="00454F1C">
      <w:pPr>
        <w:rPr>
          <w:lang w:val="en-NZ"/>
        </w:rPr>
      </w:pPr>
    </w:p>
    <w:p w:rsidR="00454F1C" w:rsidRPr="00DB4CC5" w:rsidRDefault="00454F1C" w:rsidP="00454F1C">
      <w:pPr>
        <w:pStyle w:val="Heading2"/>
        <w:rPr>
          <w:lang w:val="en-NZ"/>
        </w:rPr>
      </w:pPr>
      <w:r w:rsidRPr="00DB4CC5">
        <w:rPr>
          <w:lang w:val="en-NZ"/>
        </w:rPr>
        <w:t>Comment</w:t>
      </w:r>
    </w:p>
    <w:p w:rsidR="00503F38" w:rsidRDefault="00503F38" w:rsidP="00454F1C">
      <w:pPr>
        <w:rPr>
          <w:lang w:val="en-NZ"/>
        </w:rPr>
      </w:pPr>
    </w:p>
    <w:p w:rsidR="00503F38" w:rsidRDefault="00503F38" w:rsidP="00454F1C">
      <w:pPr>
        <w:rPr>
          <w:lang w:val="en-NZ"/>
        </w:rPr>
      </w:pPr>
      <w:r>
        <w:rPr>
          <w:lang w:val="en-NZ"/>
        </w:rPr>
        <w:t xml:space="preserve">We will provide guidance in the </w:t>
      </w:r>
      <w:r w:rsidRPr="009B557D">
        <w:rPr>
          <w:i/>
          <w:lang w:val="en-NZ"/>
        </w:rPr>
        <w:t>Tax Information Bulletin</w:t>
      </w:r>
      <w:r>
        <w:rPr>
          <w:lang w:val="en-NZ"/>
        </w:rPr>
        <w:t xml:space="preserve"> for the main home exception</w:t>
      </w:r>
      <w:r w:rsidR="00F16E3E">
        <w:rPr>
          <w:lang w:val="en-NZ"/>
        </w:rPr>
        <w:t>.  I</w:t>
      </w:r>
      <w:r w:rsidR="00396767">
        <w:rPr>
          <w:lang w:val="en-NZ"/>
        </w:rPr>
        <w:t>n addition</w:t>
      </w:r>
      <w:r w:rsidR="00834159">
        <w:rPr>
          <w:lang w:val="en-NZ"/>
        </w:rPr>
        <w:t>,</w:t>
      </w:r>
      <w:r w:rsidR="00396767">
        <w:rPr>
          <w:lang w:val="en-NZ"/>
        </w:rPr>
        <w:t xml:space="preserve"> </w:t>
      </w:r>
      <w:r w:rsidR="000E3C50">
        <w:rPr>
          <w:lang w:val="en-NZ"/>
        </w:rPr>
        <w:t xml:space="preserve">Inland Revenue is providing additional guidance on the application of “greatest connection” </w:t>
      </w:r>
      <w:r w:rsidR="00324703">
        <w:rPr>
          <w:lang w:val="en-NZ"/>
        </w:rPr>
        <w:t>for the recent changes in the Land Transfer Amendment Act.</w:t>
      </w:r>
    </w:p>
    <w:p w:rsidR="00454F1C" w:rsidRPr="00DB4CC5" w:rsidRDefault="00454F1C" w:rsidP="00454F1C">
      <w:pPr>
        <w:rPr>
          <w:lang w:val="en-NZ"/>
        </w:rPr>
      </w:pPr>
    </w:p>
    <w:p w:rsidR="00454F1C" w:rsidRPr="00DB4CC5" w:rsidRDefault="00454F1C" w:rsidP="00454F1C">
      <w:pPr>
        <w:pStyle w:val="Heading2"/>
        <w:rPr>
          <w:lang w:val="en-NZ"/>
        </w:rPr>
      </w:pPr>
      <w:r w:rsidRPr="00DB4CC5">
        <w:rPr>
          <w:lang w:val="en-NZ"/>
        </w:rPr>
        <w:t>Recommendation</w:t>
      </w:r>
    </w:p>
    <w:p w:rsidR="00454F1C" w:rsidRPr="00DB4CC5" w:rsidRDefault="00454F1C" w:rsidP="00454F1C">
      <w:pPr>
        <w:rPr>
          <w:lang w:val="en-NZ"/>
        </w:rPr>
      </w:pPr>
    </w:p>
    <w:p w:rsidR="00454F1C" w:rsidRPr="00DB4CC5" w:rsidRDefault="00454F1C" w:rsidP="00454F1C">
      <w:pPr>
        <w:rPr>
          <w:lang w:val="en-NZ"/>
        </w:rPr>
      </w:pPr>
      <w:r w:rsidRPr="00DB4CC5">
        <w:rPr>
          <w:lang w:val="en-NZ"/>
        </w:rPr>
        <w:t xml:space="preserve">That the submission be </w:t>
      </w:r>
      <w:r w:rsidR="00FD7B5E">
        <w:rPr>
          <w:lang w:val="en-NZ"/>
        </w:rPr>
        <w:t>noted</w:t>
      </w:r>
      <w:r w:rsidR="000E3C50">
        <w:rPr>
          <w:lang w:val="en-NZ"/>
        </w:rPr>
        <w:t>.</w:t>
      </w:r>
    </w:p>
    <w:p w:rsidR="00B52730" w:rsidRPr="00DB4CC5" w:rsidRDefault="00B52730" w:rsidP="00B52730">
      <w:pPr>
        <w:pBdr>
          <w:bottom w:val="single" w:sz="4" w:space="1" w:color="auto"/>
        </w:pBdr>
        <w:rPr>
          <w:lang w:val="en-NZ"/>
        </w:rPr>
      </w:pPr>
    </w:p>
    <w:p w:rsidR="007E7996" w:rsidRPr="00DB4CC5" w:rsidRDefault="007E7996" w:rsidP="00B52730">
      <w:pPr>
        <w:rPr>
          <w:lang w:val="en-NZ"/>
        </w:rPr>
      </w:pPr>
    </w:p>
    <w:p w:rsidR="0065103F" w:rsidRDefault="0065103F">
      <w:pPr>
        <w:jc w:val="left"/>
        <w:rPr>
          <w:b/>
          <w:sz w:val="26"/>
          <w:lang w:val="en-NZ"/>
        </w:rPr>
      </w:pPr>
      <w:r>
        <w:rPr>
          <w:lang w:val="en-NZ"/>
        </w:rPr>
        <w:br w:type="page"/>
      </w:r>
    </w:p>
    <w:p w:rsidR="00B52730" w:rsidRPr="00DB4CC5" w:rsidRDefault="00B52730" w:rsidP="00B52730">
      <w:pPr>
        <w:pStyle w:val="Heading5"/>
        <w:ind w:left="794" w:hanging="794"/>
        <w:rPr>
          <w:lang w:val="en-NZ"/>
        </w:rPr>
      </w:pPr>
      <w:bookmarkStart w:id="47" w:name="_Toc432411935"/>
      <w:r w:rsidRPr="00DB4CC5">
        <w:rPr>
          <w:lang w:val="en-NZ"/>
        </w:rPr>
        <w:t>Issue:</w:t>
      </w:r>
      <w:r w:rsidRPr="00DB4CC5">
        <w:rPr>
          <w:lang w:val="en-NZ"/>
        </w:rPr>
        <w:tab/>
      </w:r>
      <w:r>
        <w:rPr>
          <w:lang w:val="en-NZ"/>
        </w:rPr>
        <w:t xml:space="preserve">Habitual </w:t>
      </w:r>
      <w:r w:rsidR="003552E4">
        <w:rPr>
          <w:lang w:val="en-NZ"/>
        </w:rPr>
        <w:t>seller</w:t>
      </w:r>
      <w:r>
        <w:rPr>
          <w:lang w:val="en-NZ"/>
        </w:rPr>
        <w:t xml:space="preserve"> rule</w:t>
      </w:r>
      <w:bookmarkEnd w:id="47"/>
      <w:r w:rsidR="00AC5597">
        <w:rPr>
          <w:lang w:val="en-NZ"/>
        </w:rPr>
        <w:t xml:space="preserve"> </w:t>
      </w:r>
    </w:p>
    <w:p w:rsidR="00B52730" w:rsidRPr="00DB4CC5" w:rsidRDefault="00B52730" w:rsidP="00B52730">
      <w:pPr>
        <w:rPr>
          <w:lang w:val="en-NZ"/>
        </w:rPr>
      </w:pPr>
    </w:p>
    <w:p w:rsidR="00B52730" w:rsidRPr="00DB4CC5" w:rsidRDefault="00B52730" w:rsidP="00B52730">
      <w:pPr>
        <w:rPr>
          <w:lang w:val="en-NZ"/>
        </w:rPr>
      </w:pPr>
    </w:p>
    <w:p w:rsidR="00B52730" w:rsidRPr="00DB4CC5" w:rsidRDefault="00B52730" w:rsidP="00B52730">
      <w:pPr>
        <w:pStyle w:val="Heading2"/>
        <w:rPr>
          <w:lang w:val="en-NZ"/>
        </w:rPr>
      </w:pPr>
      <w:r w:rsidRPr="00DB4CC5">
        <w:rPr>
          <w:lang w:val="en-NZ"/>
        </w:rPr>
        <w:t>Submission</w:t>
      </w:r>
    </w:p>
    <w:p w:rsidR="00B52730" w:rsidRPr="00DB4CC5" w:rsidRDefault="00B52730" w:rsidP="00B52730">
      <w:pPr>
        <w:pStyle w:val="Heading4"/>
        <w:rPr>
          <w:lang w:val="en-NZ"/>
        </w:rPr>
      </w:pPr>
      <w:r>
        <w:rPr>
          <w:lang w:val="en-NZ"/>
        </w:rPr>
        <w:t>(Chartered Accountants Australia and New Zealand</w:t>
      </w:r>
      <w:r w:rsidR="0048281F">
        <w:rPr>
          <w:lang w:val="en-NZ"/>
        </w:rPr>
        <w:t xml:space="preserve">, </w:t>
      </w:r>
      <w:proofErr w:type="spellStart"/>
      <w:r w:rsidR="0048281F">
        <w:rPr>
          <w:lang w:val="en-NZ"/>
        </w:rPr>
        <w:t>nsaTax</w:t>
      </w:r>
      <w:proofErr w:type="spellEnd"/>
      <w:r>
        <w:rPr>
          <w:lang w:val="en-NZ"/>
        </w:rPr>
        <w:t>)</w:t>
      </w:r>
    </w:p>
    <w:p w:rsidR="00B52730" w:rsidRPr="00DB4CC5" w:rsidRDefault="00B52730" w:rsidP="00B52730">
      <w:pPr>
        <w:tabs>
          <w:tab w:val="left" w:pos="5295"/>
        </w:tabs>
        <w:rPr>
          <w:lang w:val="en-NZ"/>
        </w:rPr>
      </w:pPr>
    </w:p>
    <w:p w:rsidR="00B52730" w:rsidRDefault="00B52730" w:rsidP="00B52730">
      <w:pPr>
        <w:rPr>
          <w:lang w:val="en-NZ"/>
        </w:rPr>
      </w:pPr>
      <w:r>
        <w:rPr>
          <w:lang w:val="en-NZ"/>
        </w:rPr>
        <w:t xml:space="preserve">The bill proposes that the main home exception is not available if the person has used the exclusion </w:t>
      </w:r>
      <w:r w:rsidR="00491E2B">
        <w:rPr>
          <w:lang w:val="en-NZ"/>
        </w:rPr>
        <w:t>two</w:t>
      </w:r>
      <w:r>
        <w:rPr>
          <w:lang w:val="en-NZ"/>
        </w:rPr>
        <w:t xml:space="preserve"> or more times within the </w:t>
      </w:r>
      <w:r w:rsidR="00491E2B">
        <w:rPr>
          <w:lang w:val="en-NZ"/>
        </w:rPr>
        <w:t>two</w:t>
      </w:r>
      <w:r>
        <w:rPr>
          <w:lang w:val="en-NZ"/>
        </w:rPr>
        <w:t xml:space="preserve"> years immediately preceding the date of disposal.</w:t>
      </w:r>
    </w:p>
    <w:p w:rsidR="00B52730" w:rsidRDefault="00B52730" w:rsidP="00B52730">
      <w:pPr>
        <w:rPr>
          <w:lang w:val="en-NZ"/>
        </w:rPr>
      </w:pPr>
    </w:p>
    <w:p w:rsidR="00B52730" w:rsidRPr="00DB4CC5" w:rsidRDefault="00B52730" w:rsidP="00B52730">
      <w:pPr>
        <w:rPr>
          <w:lang w:val="en-NZ"/>
        </w:rPr>
      </w:pPr>
      <w:r>
        <w:rPr>
          <w:lang w:val="en-NZ"/>
        </w:rPr>
        <w:t xml:space="preserve">Explicitly allowing a person to rely on the main home exclusion </w:t>
      </w:r>
      <w:r w:rsidR="00491E2B">
        <w:rPr>
          <w:lang w:val="en-NZ"/>
        </w:rPr>
        <w:t>twice</w:t>
      </w:r>
      <w:r>
        <w:rPr>
          <w:lang w:val="en-NZ"/>
        </w:rPr>
        <w:t xml:space="preserve"> in a two</w:t>
      </w:r>
      <w:r w:rsidR="00491E2B">
        <w:rPr>
          <w:lang w:val="en-NZ"/>
        </w:rPr>
        <w:t>-</w:t>
      </w:r>
      <w:r>
        <w:rPr>
          <w:lang w:val="en-NZ"/>
        </w:rPr>
        <w:t xml:space="preserve">year period sends the wrong message as people may assume they can sell two homes within each period of two years (and by implication many more homes over a longer period) and not be subject to tax on any gains on the sale of those properties. </w:t>
      </w:r>
      <w:r w:rsidRPr="009B557D">
        <w:rPr>
          <w:i/>
          <w:lang w:val="en-NZ"/>
        </w:rPr>
        <w:t>(Chartered Accountants Australia and New Zealand)</w:t>
      </w:r>
    </w:p>
    <w:p w:rsidR="00B52730" w:rsidRDefault="00B52730" w:rsidP="00B52730">
      <w:pPr>
        <w:rPr>
          <w:lang w:val="en-NZ"/>
        </w:rPr>
      </w:pPr>
    </w:p>
    <w:p w:rsidR="00915503" w:rsidRDefault="00915503" w:rsidP="00B52730">
      <w:pPr>
        <w:rPr>
          <w:lang w:val="en-NZ"/>
        </w:rPr>
      </w:pPr>
      <w:r>
        <w:rPr>
          <w:lang w:val="en-NZ"/>
        </w:rPr>
        <w:t>The main home exclusion should only be able to be relied on once in any two</w:t>
      </w:r>
      <w:r w:rsidR="00491E2B">
        <w:rPr>
          <w:lang w:val="en-NZ"/>
        </w:rPr>
        <w:t>-</w:t>
      </w:r>
      <w:r>
        <w:rPr>
          <w:lang w:val="en-NZ"/>
        </w:rPr>
        <w:t xml:space="preserve">year period. </w:t>
      </w:r>
      <w:r w:rsidRPr="009B557D">
        <w:rPr>
          <w:i/>
          <w:lang w:val="en-NZ"/>
        </w:rPr>
        <w:t>(</w:t>
      </w:r>
      <w:proofErr w:type="spellStart"/>
      <w:proofErr w:type="gramStart"/>
      <w:r w:rsidRPr="009B557D">
        <w:rPr>
          <w:i/>
          <w:lang w:val="en-NZ"/>
        </w:rPr>
        <w:t>nsaTax</w:t>
      </w:r>
      <w:proofErr w:type="spellEnd"/>
      <w:proofErr w:type="gramEnd"/>
      <w:r w:rsidRPr="009B557D">
        <w:rPr>
          <w:i/>
          <w:lang w:val="en-NZ"/>
        </w:rPr>
        <w:t>)</w:t>
      </w:r>
    </w:p>
    <w:p w:rsidR="00915503" w:rsidRPr="00DB4CC5" w:rsidRDefault="00915503" w:rsidP="00B52730">
      <w:pPr>
        <w:rPr>
          <w:lang w:val="en-NZ"/>
        </w:rPr>
      </w:pPr>
    </w:p>
    <w:p w:rsidR="00B52730" w:rsidRPr="00DB4CC5" w:rsidRDefault="00B52730" w:rsidP="00B52730">
      <w:pPr>
        <w:pStyle w:val="Heading2"/>
        <w:rPr>
          <w:lang w:val="en-NZ"/>
        </w:rPr>
      </w:pPr>
      <w:r w:rsidRPr="00DB4CC5">
        <w:rPr>
          <w:lang w:val="en-NZ"/>
        </w:rPr>
        <w:t>Comment</w:t>
      </w:r>
    </w:p>
    <w:p w:rsidR="00B52730" w:rsidRDefault="00B52730" w:rsidP="00B52730">
      <w:pPr>
        <w:rPr>
          <w:lang w:val="en-NZ"/>
        </w:rPr>
      </w:pPr>
    </w:p>
    <w:p w:rsidR="00F11FE2" w:rsidRDefault="009C1839" w:rsidP="00B52730">
      <w:pPr>
        <w:rPr>
          <w:lang w:val="en-NZ"/>
        </w:rPr>
      </w:pPr>
      <w:r>
        <w:rPr>
          <w:lang w:val="en-NZ"/>
        </w:rPr>
        <w:t>We agree that the proposed</w:t>
      </w:r>
      <w:r w:rsidR="00F11FE2">
        <w:rPr>
          <w:lang w:val="en-NZ"/>
        </w:rPr>
        <w:t xml:space="preserve"> </w:t>
      </w:r>
      <w:r w:rsidR="00491E2B">
        <w:rPr>
          <w:lang w:val="en-NZ"/>
        </w:rPr>
        <w:t>“</w:t>
      </w:r>
      <w:r w:rsidR="00F11FE2">
        <w:rPr>
          <w:lang w:val="en-NZ"/>
        </w:rPr>
        <w:t>habitual seller</w:t>
      </w:r>
      <w:r w:rsidR="00491E2B">
        <w:rPr>
          <w:lang w:val="en-NZ"/>
        </w:rPr>
        <w:t>”</w:t>
      </w:r>
      <w:r>
        <w:rPr>
          <w:lang w:val="en-NZ"/>
        </w:rPr>
        <w:t xml:space="preserve"> rule for the bright-line test</w:t>
      </w:r>
      <w:r w:rsidR="00F11FE2">
        <w:rPr>
          <w:lang w:val="en-NZ"/>
        </w:rPr>
        <w:t xml:space="preserve"> could send the wrong message.</w:t>
      </w:r>
    </w:p>
    <w:p w:rsidR="00F11FE2" w:rsidRDefault="00F11FE2" w:rsidP="00B52730">
      <w:pPr>
        <w:rPr>
          <w:lang w:val="en-NZ"/>
        </w:rPr>
      </w:pPr>
    </w:p>
    <w:p w:rsidR="00711C69" w:rsidRDefault="00F11FE2" w:rsidP="00B52730">
      <w:pPr>
        <w:rPr>
          <w:lang w:val="en-NZ"/>
        </w:rPr>
      </w:pPr>
      <w:r>
        <w:rPr>
          <w:lang w:val="en-NZ"/>
        </w:rPr>
        <w:t>The rule could</w:t>
      </w:r>
      <w:r w:rsidR="009C1839">
        <w:rPr>
          <w:lang w:val="en-NZ"/>
        </w:rPr>
        <w:t xml:space="preserve"> lead to people assuming that their sale of their main home is non-taxable if they have not previously used the</w:t>
      </w:r>
      <w:r>
        <w:rPr>
          <w:lang w:val="en-NZ"/>
        </w:rPr>
        <w:t xml:space="preserve"> main home</w:t>
      </w:r>
      <w:r w:rsidR="009C1839">
        <w:rPr>
          <w:lang w:val="en-NZ"/>
        </w:rPr>
        <w:t xml:space="preserve"> exception within the previous two years even if they have sold more properties over a longer period</w:t>
      </w:r>
      <w:r w:rsidR="00F16E3E">
        <w:rPr>
          <w:lang w:val="en-NZ"/>
        </w:rPr>
        <w:t>.  T</w:t>
      </w:r>
      <w:r w:rsidR="009C1839">
        <w:rPr>
          <w:lang w:val="en-NZ"/>
        </w:rPr>
        <w:t>his would be incorrect as the person may be taxable under the “intention” test and the habitual seller rule contained within the “intention” test</w:t>
      </w:r>
      <w:r w:rsidR="00742779">
        <w:rPr>
          <w:lang w:val="en-NZ"/>
        </w:rPr>
        <w:t>.</w:t>
      </w:r>
    </w:p>
    <w:p w:rsidR="009C1839" w:rsidRDefault="009C1839" w:rsidP="00B52730">
      <w:pPr>
        <w:rPr>
          <w:lang w:val="en-NZ"/>
        </w:rPr>
      </w:pPr>
    </w:p>
    <w:p w:rsidR="0048281F" w:rsidRDefault="009C1839" w:rsidP="00B52730">
      <w:pPr>
        <w:rPr>
          <w:lang w:val="en-NZ"/>
        </w:rPr>
      </w:pPr>
      <w:r>
        <w:rPr>
          <w:lang w:val="en-NZ"/>
        </w:rPr>
        <w:t xml:space="preserve">To resolve this we consider that the main home exception for the bright-line should </w:t>
      </w:r>
      <w:r w:rsidR="00E320D8">
        <w:rPr>
          <w:lang w:val="en-NZ"/>
        </w:rPr>
        <w:t xml:space="preserve">also </w:t>
      </w:r>
      <w:r>
        <w:rPr>
          <w:lang w:val="en-NZ"/>
        </w:rPr>
        <w:t>not be available if a person has engaged in a regular patter</w:t>
      </w:r>
      <w:r w:rsidR="00491E2B">
        <w:rPr>
          <w:lang w:val="en-NZ"/>
        </w:rPr>
        <w:t>n</w:t>
      </w:r>
      <w:r>
        <w:rPr>
          <w:lang w:val="en-NZ"/>
        </w:rPr>
        <w:t xml:space="preserve"> of acquiring and disposing of residential land</w:t>
      </w:r>
      <w:r w:rsidR="00F16E3E">
        <w:rPr>
          <w:lang w:val="en-NZ"/>
        </w:rPr>
        <w:t>.  T</w:t>
      </w:r>
      <w:r>
        <w:rPr>
          <w:lang w:val="en-NZ"/>
        </w:rPr>
        <w:t xml:space="preserve">his is aligned with the existing habitual seller </w:t>
      </w:r>
      <w:r w:rsidR="00E320D8">
        <w:rPr>
          <w:lang w:val="en-NZ"/>
        </w:rPr>
        <w:t>exception in the main residence exclusion to the</w:t>
      </w:r>
      <w:r>
        <w:rPr>
          <w:lang w:val="en-NZ"/>
        </w:rPr>
        <w:t xml:space="preserve"> “intention” test.</w:t>
      </w:r>
    </w:p>
    <w:p w:rsidR="00B52730" w:rsidRPr="00DB4CC5" w:rsidRDefault="00B52730" w:rsidP="00B52730">
      <w:pPr>
        <w:rPr>
          <w:lang w:val="en-NZ"/>
        </w:rPr>
      </w:pPr>
    </w:p>
    <w:p w:rsidR="00B52730" w:rsidRPr="00DB4CC5" w:rsidRDefault="00B52730" w:rsidP="00B52730">
      <w:pPr>
        <w:pStyle w:val="Heading2"/>
        <w:rPr>
          <w:lang w:val="en-NZ"/>
        </w:rPr>
      </w:pPr>
      <w:r w:rsidRPr="00DB4CC5">
        <w:rPr>
          <w:lang w:val="en-NZ"/>
        </w:rPr>
        <w:t>Recommendation</w:t>
      </w:r>
    </w:p>
    <w:p w:rsidR="00B52730" w:rsidRPr="00DB4CC5" w:rsidRDefault="00B52730" w:rsidP="00B52730">
      <w:pPr>
        <w:rPr>
          <w:lang w:val="en-NZ"/>
        </w:rPr>
      </w:pPr>
    </w:p>
    <w:p w:rsidR="00B52730" w:rsidRPr="00DB4CC5" w:rsidRDefault="00B52730" w:rsidP="00B52730">
      <w:pPr>
        <w:rPr>
          <w:lang w:val="en-NZ"/>
        </w:rPr>
      </w:pPr>
      <w:r w:rsidRPr="00DB4CC5">
        <w:rPr>
          <w:lang w:val="en-NZ"/>
        </w:rPr>
        <w:t xml:space="preserve">That the submission be </w:t>
      </w:r>
      <w:r w:rsidR="00711C69">
        <w:rPr>
          <w:lang w:val="en-NZ"/>
        </w:rPr>
        <w:t>accepted</w:t>
      </w:r>
      <w:r w:rsidR="00381DAA">
        <w:rPr>
          <w:lang w:val="en-NZ"/>
        </w:rPr>
        <w:t>,</w:t>
      </w:r>
      <w:r w:rsidR="00711C69">
        <w:rPr>
          <w:lang w:val="en-NZ"/>
        </w:rPr>
        <w:t xml:space="preserve"> subject to officials’ comments.</w:t>
      </w:r>
    </w:p>
    <w:p w:rsidR="00B52730" w:rsidRPr="00DB4CC5" w:rsidRDefault="00B52730" w:rsidP="00B52730">
      <w:pPr>
        <w:pBdr>
          <w:bottom w:val="single" w:sz="4" w:space="1" w:color="auto"/>
        </w:pBdr>
        <w:rPr>
          <w:lang w:val="en-NZ"/>
        </w:rPr>
      </w:pPr>
    </w:p>
    <w:p w:rsidR="00B52730" w:rsidRDefault="00B52730" w:rsidP="00B52730">
      <w:pPr>
        <w:rPr>
          <w:lang w:val="en-NZ"/>
        </w:rPr>
      </w:pPr>
    </w:p>
    <w:p w:rsidR="007E7996" w:rsidRPr="00DB4CC5" w:rsidRDefault="007E7996" w:rsidP="00B52730">
      <w:pPr>
        <w:rPr>
          <w:lang w:val="en-NZ"/>
        </w:rPr>
      </w:pPr>
    </w:p>
    <w:p w:rsidR="00B52730" w:rsidRPr="00DB4CC5" w:rsidRDefault="00B52730" w:rsidP="007E7996">
      <w:pPr>
        <w:pStyle w:val="Heading5"/>
        <w:tabs>
          <w:tab w:val="clear" w:pos="794"/>
          <w:tab w:val="left" w:pos="0"/>
        </w:tabs>
        <w:rPr>
          <w:lang w:val="en-NZ"/>
        </w:rPr>
      </w:pPr>
      <w:bookmarkStart w:id="48" w:name="_Toc432411936"/>
      <w:r w:rsidRPr="00DB4CC5">
        <w:rPr>
          <w:lang w:val="en-NZ"/>
        </w:rPr>
        <w:t>Issue:</w:t>
      </w:r>
      <w:r w:rsidRPr="00DB4CC5">
        <w:rPr>
          <w:lang w:val="en-NZ"/>
        </w:rPr>
        <w:tab/>
      </w:r>
      <w:r>
        <w:rPr>
          <w:lang w:val="en-NZ"/>
        </w:rPr>
        <w:t>Principal settlor</w:t>
      </w:r>
      <w:r w:rsidR="00E320D8">
        <w:rPr>
          <w:lang w:val="en-NZ"/>
        </w:rPr>
        <w:t xml:space="preserve"> rule</w:t>
      </w:r>
      <w:r w:rsidR="000C315D">
        <w:rPr>
          <w:lang w:val="en-NZ"/>
        </w:rPr>
        <w:t xml:space="preserve"> does not work appropriately in all circumstances</w:t>
      </w:r>
      <w:bookmarkEnd w:id="48"/>
    </w:p>
    <w:p w:rsidR="00B52730" w:rsidRPr="00DB4CC5" w:rsidRDefault="00B52730" w:rsidP="00B52730">
      <w:pPr>
        <w:rPr>
          <w:lang w:val="en-NZ"/>
        </w:rPr>
      </w:pPr>
    </w:p>
    <w:p w:rsidR="00B52730" w:rsidRPr="00DB4CC5" w:rsidRDefault="00B52730" w:rsidP="00B52730">
      <w:pPr>
        <w:rPr>
          <w:lang w:val="en-NZ"/>
        </w:rPr>
      </w:pPr>
    </w:p>
    <w:p w:rsidR="00B52730" w:rsidRPr="00DB4CC5" w:rsidRDefault="00B52730" w:rsidP="00B52730">
      <w:pPr>
        <w:pStyle w:val="Heading2"/>
        <w:rPr>
          <w:lang w:val="en-NZ"/>
        </w:rPr>
      </w:pPr>
      <w:r w:rsidRPr="00DB4CC5">
        <w:rPr>
          <w:lang w:val="en-NZ"/>
        </w:rPr>
        <w:t>Submission</w:t>
      </w:r>
    </w:p>
    <w:p w:rsidR="00B52730" w:rsidRPr="00DB4CC5" w:rsidRDefault="00B52730" w:rsidP="00B52730">
      <w:pPr>
        <w:pStyle w:val="Heading4"/>
        <w:rPr>
          <w:lang w:val="en-NZ"/>
        </w:rPr>
      </w:pPr>
      <w:r>
        <w:rPr>
          <w:lang w:val="en-NZ"/>
        </w:rPr>
        <w:t>(Chartered Accountants Australia and New Zealand)</w:t>
      </w:r>
    </w:p>
    <w:p w:rsidR="00B52730" w:rsidRPr="00DB4CC5" w:rsidRDefault="00B52730" w:rsidP="00B52730">
      <w:pPr>
        <w:tabs>
          <w:tab w:val="left" w:pos="5295"/>
        </w:tabs>
        <w:rPr>
          <w:lang w:val="en-NZ"/>
        </w:rPr>
      </w:pPr>
    </w:p>
    <w:p w:rsidR="00B52730" w:rsidRDefault="00B52730" w:rsidP="00B52730">
      <w:pPr>
        <w:rPr>
          <w:lang w:val="en-NZ"/>
        </w:rPr>
      </w:pPr>
      <w:r>
        <w:rPr>
          <w:lang w:val="en-NZ"/>
        </w:rPr>
        <w:t xml:space="preserve">The </w:t>
      </w:r>
      <w:r w:rsidR="00465C24">
        <w:rPr>
          <w:lang w:val="en-NZ"/>
        </w:rPr>
        <w:t>“</w:t>
      </w:r>
      <w:r>
        <w:rPr>
          <w:lang w:val="en-NZ"/>
        </w:rPr>
        <w:t>principal settlor</w:t>
      </w:r>
      <w:r w:rsidR="00465C24">
        <w:rPr>
          <w:lang w:val="en-NZ"/>
        </w:rPr>
        <w:t>”</w:t>
      </w:r>
      <w:r>
        <w:rPr>
          <w:lang w:val="en-NZ"/>
        </w:rPr>
        <w:t xml:space="preserve"> </w:t>
      </w:r>
      <w:r w:rsidR="00E320D8">
        <w:rPr>
          <w:lang w:val="en-NZ"/>
        </w:rPr>
        <w:t xml:space="preserve">rule </w:t>
      </w:r>
      <w:r>
        <w:rPr>
          <w:lang w:val="en-NZ"/>
        </w:rPr>
        <w:t>does not work appropriately in all circumstances</w:t>
      </w:r>
      <w:r w:rsidR="00465C24">
        <w:rPr>
          <w:lang w:val="en-NZ"/>
        </w:rPr>
        <w:t>,</w:t>
      </w:r>
      <w:r>
        <w:rPr>
          <w:lang w:val="en-NZ"/>
        </w:rPr>
        <w:t xml:space="preserve"> with the result that the main home exclusion will not be available in some circumstances </w:t>
      </w:r>
      <w:r w:rsidR="00465C24">
        <w:rPr>
          <w:lang w:val="en-NZ"/>
        </w:rPr>
        <w:t xml:space="preserve">when </w:t>
      </w:r>
      <w:r>
        <w:rPr>
          <w:lang w:val="en-NZ"/>
        </w:rPr>
        <w:t>it should be.</w:t>
      </w:r>
    </w:p>
    <w:p w:rsidR="001E65F4" w:rsidRDefault="001E65F4" w:rsidP="00B52730">
      <w:pPr>
        <w:rPr>
          <w:lang w:val="en-NZ"/>
        </w:rPr>
      </w:pPr>
      <w:r>
        <w:rPr>
          <w:lang w:val="en-NZ"/>
        </w:rPr>
        <w:t>Take</w:t>
      </w:r>
      <w:r w:rsidR="00465C24">
        <w:rPr>
          <w:lang w:val="en-NZ"/>
        </w:rPr>
        <w:t>,</w:t>
      </w:r>
      <w:r>
        <w:rPr>
          <w:lang w:val="en-NZ"/>
        </w:rPr>
        <w:t xml:space="preserve"> for example</w:t>
      </w:r>
      <w:r w:rsidR="00465C24">
        <w:rPr>
          <w:lang w:val="en-NZ"/>
        </w:rPr>
        <w:t>,</w:t>
      </w:r>
      <w:r>
        <w:rPr>
          <w:lang w:val="en-NZ"/>
        </w:rPr>
        <w:t xml:space="preserve"> where a </w:t>
      </w:r>
      <w:r w:rsidR="00A71D3D">
        <w:rPr>
          <w:lang w:val="en-NZ"/>
        </w:rPr>
        <w:t>25</w:t>
      </w:r>
      <w:r w:rsidR="00465C24">
        <w:rPr>
          <w:lang w:val="en-NZ"/>
        </w:rPr>
        <w:t>-</w:t>
      </w:r>
      <w:r w:rsidR="00A71D3D">
        <w:rPr>
          <w:lang w:val="en-NZ"/>
        </w:rPr>
        <w:t>year old and her partner settle a trust which acquires their first home for $800,000</w:t>
      </w:r>
      <w:r w:rsidR="00F16E3E">
        <w:rPr>
          <w:lang w:val="en-NZ"/>
        </w:rPr>
        <w:t>.  T</w:t>
      </w:r>
      <w:r w:rsidR="00A71D3D">
        <w:rPr>
          <w:lang w:val="en-NZ"/>
        </w:rPr>
        <w:t>he couple are beneficiaries of the trust</w:t>
      </w:r>
      <w:r w:rsidR="00F16E3E">
        <w:rPr>
          <w:lang w:val="en-NZ"/>
        </w:rPr>
        <w:t>.  A</w:t>
      </w:r>
      <w:r w:rsidR="00A71D3D">
        <w:rPr>
          <w:lang w:val="en-NZ"/>
        </w:rPr>
        <w:t>s the couple only has $10,000 towards a deposit for the property, the 25</w:t>
      </w:r>
      <w:r w:rsidR="00465C24">
        <w:rPr>
          <w:lang w:val="en-NZ"/>
        </w:rPr>
        <w:t>-</w:t>
      </w:r>
      <w:r w:rsidR="00A71D3D">
        <w:rPr>
          <w:lang w:val="en-NZ"/>
        </w:rPr>
        <w:t xml:space="preserve">year </w:t>
      </w:r>
      <w:proofErr w:type="spellStart"/>
      <w:r w:rsidR="00A71D3D">
        <w:rPr>
          <w:lang w:val="en-NZ"/>
        </w:rPr>
        <w:t>old’s</w:t>
      </w:r>
      <w:proofErr w:type="spellEnd"/>
      <w:r w:rsidR="00A71D3D">
        <w:rPr>
          <w:lang w:val="en-NZ"/>
        </w:rPr>
        <w:t xml:space="preserve"> mother lends $200,000 interest</w:t>
      </w:r>
      <w:r w:rsidR="005D15DA">
        <w:rPr>
          <w:lang w:val="en-NZ"/>
        </w:rPr>
        <w:t>-</w:t>
      </w:r>
      <w:r w:rsidR="00A71D3D">
        <w:rPr>
          <w:lang w:val="en-NZ"/>
        </w:rPr>
        <w:t>free to the trust</w:t>
      </w:r>
      <w:r w:rsidR="00F16E3E">
        <w:rPr>
          <w:lang w:val="en-NZ"/>
        </w:rPr>
        <w:t>.  T</w:t>
      </w:r>
      <w:r w:rsidR="00A71D3D">
        <w:rPr>
          <w:lang w:val="en-NZ"/>
        </w:rPr>
        <w:t>hat loan makes the mother a settlor of the trust</w:t>
      </w:r>
      <w:r w:rsidR="00F16E3E">
        <w:rPr>
          <w:lang w:val="en-NZ"/>
        </w:rPr>
        <w:t>.  T</w:t>
      </w:r>
      <w:r w:rsidR="00A71D3D">
        <w:rPr>
          <w:lang w:val="en-NZ"/>
        </w:rPr>
        <w:t>his scenario is common in practice.</w:t>
      </w:r>
    </w:p>
    <w:p w:rsidR="00A71D3D" w:rsidRDefault="00A71D3D" w:rsidP="00B52730">
      <w:pPr>
        <w:rPr>
          <w:lang w:val="en-NZ"/>
        </w:rPr>
      </w:pPr>
    </w:p>
    <w:p w:rsidR="00A71D3D" w:rsidRDefault="00A71D3D" w:rsidP="00B52730">
      <w:pPr>
        <w:rPr>
          <w:lang w:val="en-NZ"/>
        </w:rPr>
      </w:pPr>
      <w:r>
        <w:rPr>
          <w:lang w:val="en-NZ"/>
        </w:rPr>
        <w:t>If the interest foregone by the mother exceeds the settlement made by the 25</w:t>
      </w:r>
      <w:r w:rsidR="00465C24">
        <w:rPr>
          <w:lang w:val="en-NZ"/>
        </w:rPr>
        <w:t>-</w:t>
      </w:r>
      <w:r>
        <w:rPr>
          <w:lang w:val="en-NZ"/>
        </w:rPr>
        <w:t>year old and her partner</w:t>
      </w:r>
      <w:r w:rsidR="0098677D">
        <w:rPr>
          <w:lang w:val="en-NZ"/>
        </w:rPr>
        <w:t>,</w:t>
      </w:r>
      <w:r>
        <w:rPr>
          <w:lang w:val="en-NZ"/>
        </w:rPr>
        <w:t xml:space="preserve"> the mother will be the principal settlor.</w:t>
      </w:r>
    </w:p>
    <w:p w:rsidR="00A71D3D" w:rsidRDefault="00A71D3D" w:rsidP="00B52730">
      <w:pPr>
        <w:rPr>
          <w:lang w:val="en-NZ"/>
        </w:rPr>
      </w:pPr>
    </w:p>
    <w:p w:rsidR="00A71D3D" w:rsidRDefault="00A71D3D" w:rsidP="00B52730">
      <w:pPr>
        <w:rPr>
          <w:lang w:val="en-NZ"/>
        </w:rPr>
      </w:pPr>
      <w:r>
        <w:rPr>
          <w:lang w:val="en-NZ"/>
        </w:rPr>
        <w:t>If the mother has her own main home, the couple will not be able to rely on the main home exclusion, even though the property was their main home.</w:t>
      </w:r>
    </w:p>
    <w:p w:rsidR="00B95617" w:rsidRPr="00DB4CC5" w:rsidRDefault="00B95617" w:rsidP="00B52730">
      <w:pPr>
        <w:rPr>
          <w:lang w:val="en-NZ"/>
        </w:rPr>
      </w:pPr>
    </w:p>
    <w:p w:rsidR="00B52730" w:rsidRPr="00DB4CC5" w:rsidRDefault="00B52730" w:rsidP="00B52730">
      <w:pPr>
        <w:pStyle w:val="Heading2"/>
        <w:rPr>
          <w:lang w:val="en-NZ"/>
        </w:rPr>
      </w:pPr>
      <w:r w:rsidRPr="00DB4CC5">
        <w:rPr>
          <w:lang w:val="en-NZ"/>
        </w:rPr>
        <w:t>Comment</w:t>
      </w:r>
    </w:p>
    <w:p w:rsidR="00B52730" w:rsidRDefault="00B52730" w:rsidP="00B52730">
      <w:pPr>
        <w:rPr>
          <w:lang w:val="en-NZ"/>
        </w:rPr>
      </w:pPr>
    </w:p>
    <w:p w:rsidR="008D3F6C" w:rsidRDefault="001E65F4" w:rsidP="00B52730">
      <w:pPr>
        <w:rPr>
          <w:lang w:val="en-NZ"/>
        </w:rPr>
      </w:pPr>
      <w:r>
        <w:rPr>
          <w:lang w:val="en-NZ"/>
        </w:rPr>
        <w:t xml:space="preserve">We agree that the principal settlor provision would not work appropriately in </w:t>
      </w:r>
      <w:r w:rsidR="00A71D3D">
        <w:rPr>
          <w:lang w:val="en-NZ"/>
        </w:rPr>
        <w:t>the circumstances outlined by the submitter.</w:t>
      </w:r>
    </w:p>
    <w:p w:rsidR="00A71D3D" w:rsidRDefault="00A71D3D" w:rsidP="00B52730">
      <w:pPr>
        <w:rPr>
          <w:lang w:val="en-NZ"/>
        </w:rPr>
      </w:pPr>
    </w:p>
    <w:p w:rsidR="00A71D3D" w:rsidRDefault="00A71D3D" w:rsidP="00B52730">
      <w:pPr>
        <w:rPr>
          <w:lang w:val="en-NZ"/>
        </w:rPr>
      </w:pPr>
      <w:r>
        <w:rPr>
          <w:lang w:val="en-NZ"/>
        </w:rPr>
        <w:t xml:space="preserve">To fix this we recommend that a person is not a principal settlor for the purposes of the rule </w:t>
      </w:r>
      <w:r w:rsidR="002C4747">
        <w:rPr>
          <w:lang w:val="en-NZ"/>
        </w:rPr>
        <w:t xml:space="preserve">if </w:t>
      </w:r>
      <w:r>
        <w:rPr>
          <w:lang w:val="en-NZ"/>
        </w:rPr>
        <w:t xml:space="preserve">they have provided value to a trust and they are </w:t>
      </w:r>
      <w:proofErr w:type="gramStart"/>
      <w:r>
        <w:rPr>
          <w:lang w:val="en-NZ"/>
        </w:rPr>
        <w:t>neither a trustee of the trust</w:t>
      </w:r>
      <w:r w:rsidR="002C4747">
        <w:rPr>
          <w:lang w:val="en-NZ"/>
        </w:rPr>
        <w:t>,</w:t>
      </w:r>
      <w:r>
        <w:rPr>
          <w:lang w:val="en-NZ"/>
        </w:rPr>
        <w:t xml:space="preserve"> a beneficiary of the trust</w:t>
      </w:r>
      <w:r w:rsidR="002C4747">
        <w:rPr>
          <w:lang w:val="en-NZ"/>
        </w:rPr>
        <w:t>,</w:t>
      </w:r>
      <w:r>
        <w:rPr>
          <w:lang w:val="en-NZ"/>
        </w:rPr>
        <w:t xml:space="preserve"> a person with the power to appoint or remove trustees</w:t>
      </w:r>
      <w:r w:rsidR="002C4747">
        <w:rPr>
          <w:lang w:val="en-NZ"/>
        </w:rPr>
        <w:t>,</w:t>
      </w:r>
      <w:r>
        <w:rPr>
          <w:lang w:val="en-NZ"/>
        </w:rPr>
        <w:t xml:space="preserve"> or a decision</w:t>
      </w:r>
      <w:r w:rsidR="002C4747">
        <w:rPr>
          <w:lang w:val="en-NZ"/>
        </w:rPr>
        <w:t>-</w:t>
      </w:r>
      <w:r>
        <w:rPr>
          <w:lang w:val="en-NZ"/>
        </w:rPr>
        <w:t>maker under the trust deed</w:t>
      </w:r>
      <w:proofErr w:type="gramEnd"/>
      <w:r>
        <w:rPr>
          <w:lang w:val="en-NZ"/>
        </w:rPr>
        <w:t>.</w:t>
      </w:r>
    </w:p>
    <w:p w:rsidR="00A71D3D" w:rsidRDefault="00A71D3D" w:rsidP="00B52730">
      <w:pPr>
        <w:rPr>
          <w:lang w:val="en-NZ"/>
        </w:rPr>
      </w:pPr>
    </w:p>
    <w:p w:rsidR="00A71D3D" w:rsidRDefault="00A71D3D" w:rsidP="00B52730">
      <w:pPr>
        <w:rPr>
          <w:lang w:val="en-NZ"/>
        </w:rPr>
      </w:pPr>
      <w:r>
        <w:rPr>
          <w:lang w:val="en-NZ"/>
        </w:rPr>
        <w:t xml:space="preserve">We consider this will ensure that genuine gifts </w:t>
      </w:r>
      <w:r w:rsidR="00E320D8">
        <w:rPr>
          <w:lang w:val="en-NZ"/>
        </w:rPr>
        <w:t xml:space="preserve">to </w:t>
      </w:r>
      <w:r>
        <w:rPr>
          <w:lang w:val="en-NZ"/>
        </w:rPr>
        <w:t>a trust by family members will not remove the ability to claim the main home exception</w:t>
      </w:r>
      <w:r w:rsidR="005D15DA">
        <w:rPr>
          <w:lang w:val="en-NZ"/>
        </w:rPr>
        <w:t>,</w:t>
      </w:r>
      <w:r>
        <w:rPr>
          <w:lang w:val="en-NZ"/>
        </w:rPr>
        <w:t xml:space="preserve"> while still ensuring that the trust provisions cannot be used to claim</w:t>
      </w:r>
      <w:r w:rsidR="00F11FE2">
        <w:rPr>
          <w:lang w:val="en-NZ"/>
        </w:rPr>
        <w:t xml:space="preserve"> the</w:t>
      </w:r>
      <w:r>
        <w:rPr>
          <w:lang w:val="en-NZ"/>
        </w:rPr>
        <w:t xml:space="preserve"> main home</w:t>
      </w:r>
      <w:r w:rsidR="00F11FE2">
        <w:rPr>
          <w:lang w:val="en-NZ"/>
        </w:rPr>
        <w:t xml:space="preserve"> exception multiple times</w:t>
      </w:r>
      <w:r>
        <w:rPr>
          <w:lang w:val="en-NZ"/>
        </w:rPr>
        <w:t>.</w:t>
      </w:r>
    </w:p>
    <w:p w:rsidR="00B52730" w:rsidRPr="00DB4CC5" w:rsidRDefault="00B52730" w:rsidP="00B52730">
      <w:pPr>
        <w:rPr>
          <w:lang w:val="en-NZ"/>
        </w:rPr>
      </w:pPr>
    </w:p>
    <w:p w:rsidR="00B52730" w:rsidRPr="00DB4CC5" w:rsidRDefault="00B52730" w:rsidP="00B52730">
      <w:pPr>
        <w:pStyle w:val="Heading2"/>
        <w:rPr>
          <w:lang w:val="en-NZ"/>
        </w:rPr>
      </w:pPr>
      <w:r w:rsidRPr="00DB4CC5">
        <w:rPr>
          <w:lang w:val="en-NZ"/>
        </w:rPr>
        <w:t>Recommendation</w:t>
      </w:r>
    </w:p>
    <w:p w:rsidR="00B52730" w:rsidRPr="00DB4CC5" w:rsidRDefault="00B52730" w:rsidP="00B52730">
      <w:pPr>
        <w:rPr>
          <w:lang w:val="en-NZ"/>
        </w:rPr>
      </w:pPr>
    </w:p>
    <w:p w:rsidR="00B52730" w:rsidRPr="00DB4CC5" w:rsidRDefault="00B52730" w:rsidP="00B52730">
      <w:pPr>
        <w:rPr>
          <w:lang w:val="en-NZ"/>
        </w:rPr>
      </w:pPr>
      <w:r w:rsidRPr="00DB4CC5">
        <w:rPr>
          <w:lang w:val="en-NZ"/>
        </w:rPr>
        <w:t xml:space="preserve">That the submission be </w:t>
      </w:r>
      <w:r w:rsidR="008809DC">
        <w:rPr>
          <w:lang w:val="en-NZ"/>
        </w:rPr>
        <w:t>accepted</w:t>
      </w:r>
      <w:r w:rsidR="002806FB">
        <w:rPr>
          <w:lang w:val="en-NZ"/>
        </w:rPr>
        <w:t>.</w:t>
      </w:r>
    </w:p>
    <w:p w:rsidR="00B52730" w:rsidRPr="00DB4CC5" w:rsidRDefault="00B52730" w:rsidP="00B52730">
      <w:pPr>
        <w:pBdr>
          <w:bottom w:val="single" w:sz="4" w:space="1" w:color="auto"/>
        </w:pBdr>
        <w:rPr>
          <w:lang w:val="en-NZ"/>
        </w:rPr>
      </w:pPr>
    </w:p>
    <w:p w:rsidR="000C315D" w:rsidRDefault="000C315D" w:rsidP="007E7996"/>
    <w:p w:rsidR="007E7996" w:rsidRPr="007E7996" w:rsidRDefault="007E7996" w:rsidP="007E7996"/>
    <w:p w:rsidR="000C315D" w:rsidRPr="00D13EB5" w:rsidRDefault="000C315D" w:rsidP="00D13EB5">
      <w:pPr>
        <w:pStyle w:val="Heading5"/>
        <w:tabs>
          <w:tab w:val="clear" w:pos="794"/>
          <w:tab w:val="left" w:pos="851"/>
        </w:tabs>
        <w:rPr>
          <w:bCs/>
          <w:lang w:val="en-NZ"/>
        </w:rPr>
      </w:pPr>
      <w:bookmarkStart w:id="49" w:name="_Toc432411937"/>
      <w:r w:rsidRPr="00D13EB5">
        <w:rPr>
          <w:bCs/>
          <w:lang w:val="en-NZ"/>
        </w:rPr>
        <w:t>Issue:</w:t>
      </w:r>
      <w:r w:rsidRPr="00D13EB5">
        <w:rPr>
          <w:bCs/>
          <w:lang w:val="en-NZ"/>
        </w:rPr>
        <w:tab/>
      </w:r>
      <w:r w:rsidR="004C7BFC" w:rsidRPr="00D13EB5">
        <w:rPr>
          <w:bCs/>
          <w:lang w:val="en-NZ"/>
        </w:rPr>
        <w:t>What transfers of value are counted for determining</w:t>
      </w:r>
      <w:r w:rsidR="002C4747" w:rsidRPr="00D13EB5">
        <w:rPr>
          <w:bCs/>
          <w:lang w:val="en-NZ"/>
        </w:rPr>
        <w:t xml:space="preserve"> a</w:t>
      </w:r>
      <w:r w:rsidR="004C7BFC" w:rsidRPr="00D13EB5">
        <w:rPr>
          <w:bCs/>
          <w:lang w:val="en-NZ"/>
        </w:rPr>
        <w:t xml:space="preserve"> principal settlor</w:t>
      </w:r>
      <w:bookmarkEnd w:id="49"/>
    </w:p>
    <w:p w:rsidR="000C315D" w:rsidRPr="00DB4CC5" w:rsidRDefault="000C315D" w:rsidP="000C315D">
      <w:pPr>
        <w:rPr>
          <w:lang w:val="en-NZ"/>
        </w:rPr>
      </w:pPr>
    </w:p>
    <w:p w:rsidR="000C315D" w:rsidRPr="00DB4CC5" w:rsidRDefault="000C315D" w:rsidP="000C315D">
      <w:pPr>
        <w:rPr>
          <w:lang w:val="en-NZ"/>
        </w:rPr>
      </w:pPr>
    </w:p>
    <w:p w:rsidR="000C315D" w:rsidRPr="00DB4CC5" w:rsidRDefault="000C315D" w:rsidP="000C315D">
      <w:pPr>
        <w:pStyle w:val="Heading2"/>
        <w:rPr>
          <w:lang w:val="en-NZ"/>
        </w:rPr>
      </w:pPr>
      <w:r w:rsidRPr="00DB4CC5">
        <w:rPr>
          <w:lang w:val="en-NZ"/>
        </w:rPr>
        <w:t>Submission</w:t>
      </w:r>
    </w:p>
    <w:p w:rsidR="000C315D" w:rsidRPr="00DB4CC5" w:rsidRDefault="000C315D" w:rsidP="000C315D">
      <w:pPr>
        <w:pStyle w:val="Heading4"/>
        <w:rPr>
          <w:lang w:val="en-NZ"/>
        </w:rPr>
      </w:pPr>
      <w:r>
        <w:rPr>
          <w:lang w:val="en-NZ"/>
        </w:rPr>
        <w:t>(</w:t>
      </w:r>
      <w:proofErr w:type="spellStart"/>
      <w:proofErr w:type="gramStart"/>
      <w:r>
        <w:rPr>
          <w:lang w:val="en-NZ"/>
        </w:rPr>
        <w:t>nsaTax</w:t>
      </w:r>
      <w:proofErr w:type="spellEnd"/>
      <w:proofErr w:type="gramEnd"/>
      <w:r w:rsidR="004C7BFC">
        <w:rPr>
          <w:lang w:val="en-NZ"/>
        </w:rPr>
        <w:t>, New Zealand Law Society</w:t>
      </w:r>
      <w:r w:rsidR="003C5274">
        <w:rPr>
          <w:lang w:val="en-NZ"/>
        </w:rPr>
        <w:t>, EY</w:t>
      </w:r>
      <w:r>
        <w:rPr>
          <w:lang w:val="en-NZ"/>
        </w:rPr>
        <w:t>)</w:t>
      </w:r>
    </w:p>
    <w:p w:rsidR="000C315D" w:rsidRPr="00DB4CC5" w:rsidRDefault="000C315D" w:rsidP="000C315D">
      <w:pPr>
        <w:tabs>
          <w:tab w:val="left" w:pos="5295"/>
        </w:tabs>
        <w:rPr>
          <w:lang w:val="en-NZ"/>
        </w:rPr>
      </w:pPr>
    </w:p>
    <w:p w:rsidR="000C315D" w:rsidRPr="00DB4CC5" w:rsidRDefault="000C315D" w:rsidP="000C315D">
      <w:pPr>
        <w:rPr>
          <w:lang w:val="en-NZ"/>
        </w:rPr>
      </w:pPr>
      <w:r>
        <w:rPr>
          <w:lang w:val="en-NZ"/>
        </w:rPr>
        <w:t xml:space="preserve">The </w:t>
      </w:r>
      <w:r w:rsidR="00100701">
        <w:rPr>
          <w:lang w:val="en-NZ"/>
        </w:rPr>
        <w:t>“</w:t>
      </w:r>
      <w:r>
        <w:rPr>
          <w:lang w:val="en-NZ"/>
        </w:rPr>
        <w:t>principal settlor</w:t>
      </w:r>
      <w:r w:rsidR="00100701">
        <w:rPr>
          <w:lang w:val="en-NZ"/>
        </w:rPr>
        <w:t>”</w:t>
      </w:r>
      <w:r>
        <w:rPr>
          <w:lang w:val="en-NZ"/>
        </w:rPr>
        <w:t xml:space="preserve"> definition should be modified to take into account all settlements made and not be limited to property settled on the trust</w:t>
      </w:r>
      <w:r w:rsidR="00F16E3E">
        <w:rPr>
          <w:lang w:val="en-NZ"/>
        </w:rPr>
        <w:t>.  I</w:t>
      </w:r>
      <w:r>
        <w:rPr>
          <w:lang w:val="en-NZ"/>
        </w:rPr>
        <w:t>t is common for value to be provided to a trust through debt forgiveness and providing free services to a trust</w:t>
      </w:r>
      <w:r w:rsidR="00AF6FF5">
        <w:rPr>
          <w:lang w:val="en-NZ"/>
        </w:rPr>
        <w:t xml:space="preserve">. </w:t>
      </w:r>
      <w:r w:rsidR="00AF6FF5">
        <w:rPr>
          <w:i/>
          <w:lang w:val="en-NZ"/>
        </w:rPr>
        <w:t>(</w:t>
      </w:r>
      <w:proofErr w:type="spellStart"/>
      <w:proofErr w:type="gramStart"/>
      <w:r w:rsidR="00AF6FF5">
        <w:rPr>
          <w:i/>
          <w:lang w:val="en-NZ"/>
        </w:rPr>
        <w:t>nsaTax</w:t>
      </w:r>
      <w:proofErr w:type="spellEnd"/>
      <w:proofErr w:type="gramEnd"/>
      <w:r w:rsidR="00AF6FF5">
        <w:rPr>
          <w:i/>
          <w:lang w:val="en-NZ"/>
        </w:rPr>
        <w:t>)</w:t>
      </w:r>
    </w:p>
    <w:p w:rsidR="000C315D" w:rsidRDefault="000C315D" w:rsidP="000C315D">
      <w:pPr>
        <w:rPr>
          <w:lang w:val="en-NZ"/>
        </w:rPr>
      </w:pPr>
    </w:p>
    <w:p w:rsidR="004C7BFC" w:rsidRDefault="004C7BFC" w:rsidP="004C7BFC">
      <w:pPr>
        <w:rPr>
          <w:lang w:val="en-NZ"/>
        </w:rPr>
      </w:pPr>
      <w:r>
        <w:rPr>
          <w:lang w:val="en-NZ"/>
        </w:rPr>
        <w:t xml:space="preserve">The definition of </w:t>
      </w:r>
      <w:r w:rsidR="00920958">
        <w:rPr>
          <w:lang w:val="en-NZ"/>
        </w:rPr>
        <w:t>“</w:t>
      </w:r>
      <w:r>
        <w:rPr>
          <w:lang w:val="en-NZ"/>
        </w:rPr>
        <w:t>settlor</w:t>
      </w:r>
      <w:r w:rsidR="00920958">
        <w:rPr>
          <w:lang w:val="en-NZ"/>
        </w:rPr>
        <w:t>”</w:t>
      </w:r>
      <w:r>
        <w:rPr>
          <w:lang w:val="en-NZ"/>
        </w:rPr>
        <w:t xml:space="preserve"> includes a person making non-monetary transfers of value such as guaranteeing the trust’s financial obligations and providing services at below-market value</w:t>
      </w:r>
      <w:r w:rsidR="00F16E3E">
        <w:rPr>
          <w:lang w:val="en-NZ"/>
        </w:rPr>
        <w:t>.  I</w:t>
      </w:r>
      <w:r>
        <w:rPr>
          <w:lang w:val="en-NZ"/>
        </w:rPr>
        <w:t>n practice it may be difficult to value these non-monetary settlements</w:t>
      </w:r>
      <w:r w:rsidR="00F16E3E">
        <w:rPr>
          <w:lang w:val="en-NZ"/>
        </w:rPr>
        <w:t>.  I</w:t>
      </w:r>
      <w:r>
        <w:rPr>
          <w:lang w:val="en-NZ"/>
        </w:rPr>
        <w:t>nland Revenue should provide guidance on how to determine the “principal settlor” when non-monetary settlements are made on a trust</w:t>
      </w:r>
      <w:r w:rsidR="00920958">
        <w:rPr>
          <w:lang w:val="en-NZ"/>
        </w:rPr>
        <w:t>.</w:t>
      </w:r>
      <w:r>
        <w:rPr>
          <w:lang w:val="en-NZ"/>
        </w:rPr>
        <w:t xml:space="preserve"> </w:t>
      </w:r>
      <w:r w:rsidRPr="009B557D">
        <w:rPr>
          <w:i/>
          <w:lang w:val="en-NZ"/>
        </w:rPr>
        <w:t>(New Zealand Law Society)</w:t>
      </w:r>
    </w:p>
    <w:p w:rsidR="004C7BFC" w:rsidRDefault="004C7BFC" w:rsidP="004C7BFC">
      <w:pPr>
        <w:rPr>
          <w:lang w:val="en-NZ"/>
        </w:rPr>
      </w:pPr>
    </w:p>
    <w:p w:rsidR="004C7BFC" w:rsidRDefault="004C7BFC" w:rsidP="000C315D">
      <w:pPr>
        <w:rPr>
          <w:lang w:val="en-NZ"/>
        </w:rPr>
      </w:pPr>
      <w:r>
        <w:rPr>
          <w:lang w:val="en-NZ"/>
        </w:rPr>
        <w:t>Clarification of the “principal settlor” definition is needed</w:t>
      </w:r>
      <w:r w:rsidR="00FD27D9">
        <w:rPr>
          <w:lang w:val="en-NZ"/>
        </w:rPr>
        <w:t>.</w:t>
      </w:r>
      <w:r>
        <w:rPr>
          <w:lang w:val="en-NZ"/>
        </w:rPr>
        <w:t xml:space="preserve"> </w:t>
      </w:r>
      <w:r w:rsidRPr="009B557D">
        <w:rPr>
          <w:i/>
          <w:lang w:val="en-NZ"/>
        </w:rPr>
        <w:t>(</w:t>
      </w:r>
      <w:r w:rsidR="00FD27D9" w:rsidRPr="009B557D">
        <w:rPr>
          <w:i/>
          <w:lang w:val="en-NZ"/>
        </w:rPr>
        <w:t>EY</w:t>
      </w:r>
      <w:r w:rsidRPr="009B557D">
        <w:rPr>
          <w:i/>
          <w:lang w:val="en-NZ"/>
        </w:rPr>
        <w:t>)</w:t>
      </w:r>
    </w:p>
    <w:p w:rsidR="000C315D" w:rsidRPr="00DB4CC5" w:rsidRDefault="000C315D" w:rsidP="000C315D">
      <w:pPr>
        <w:pStyle w:val="Heading2"/>
        <w:rPr>
          <w:lang w:val="en-NZ"/>
        </w:rPr>
      </w:pPr>
      <w:r w:rsidRPr="00DB4CC5">
        <w:rPr>
          <w:lang w:val="en-NZ"/>
        </w:rPr>
        <w:t>Comment</w:t>
      </w:r>
    </w:p>
    <w:p w:rsidR="000C315D" w:rsidRDefault="000C315D" w:rsidP="000C315D">
      <w:pPr>
        <w:rPr>
          <w:lang w:val="en-NZ"/>
        </w:rPr>
      </w:pPr>
    </w:p>
    <w:p w:rsidR="004C7BFC" w:rsidRDefault="00E320D8" w:rsidP="000C315D">
      <w:pPr>
        <w:rPr>
          <w:lang w:val="en-NZ"/>
        </w:rPr>
      </w:pPr>
      <w:r>
        <w:rPr>
          <w:lang w:val="en-NZ"/>
        </w:rPr>
        <w:t>It is not clear</w:t>
      </w:r>
      <w:r w:rsidR="004C7BFC">
        <w:rPr>
          <w:lang w:val="en-NZ"/>
        </w:rPr>
        <w:t xml:space="preserve"> what transfers of value are counted for determining the principal settlor</w:t>
      </w:r>
      <w:r w:rsidR="00F16E3E">
        <w:rPr>
          <w:lang w:val="en-NZ"/>
        </w:rPr>
        <w:t>.  T</w:t>
      </w:r>
      <w:r w:rsidR="004C7BFC">
        <w:rPr>
          <w:lang w:val="en-NZ"/>
        </w:rPr>
        <w:t xml:space="preserve">his can be seen by submitters </w:t>
      </w:r>
      <w:r>
        <w:rPr>
          <w:lang w:val="en-NZ"/>
        </w:rPr>
        <w:t xml:space="preserve">having </w:t>
      </w:r>
      <w:r w:rsidR="004C7BFC">
        <w:rPr>
          <w:lang w:val="en-NZ"/>
        </w:rPr>
        <w:t xml:space="preserve">different </w:t>
      </w:r>
      <w:r>
        <w:rPr>
          <w:lang w:val="en-NZ"/>
        </w:rPr>
        <w:t>views on</w:t>
      </w:r>
      <w:r w:rsidR="004C7BFC">
        <w:rPr>
          <w:lang w:val="en-NZ"/>
        </w:rPr>
        <w:t xml:space="preserve"> what is counted for the purposes of this provision.</w:t>
      </w:r>
    </w:p>
    <w:p w:rsidR="004C7BFC" w:rsidRDefault="004C7BFC" w:rsidP="000C315D">
      <w:pPr>
        <w:rPr>
          <w:lang w:val="en-NZ"/>
        </w:rPr>
      </w:pPr>
    </w:p>
    <w:p w:rsidR="004C7BFC" w:rsidRDefault="004C7BFC" w:rsidP="000C315D">
      <w:pPr>
        <w:rPr>
          <w:lang w:val="en-NZ"/>
        </w:rPr>
      </w:pPr>
      <w:r>
        <w:rPr>
          <w:lang w:val="en-NZ"/>
        </w:rPr>
        <w:t xml:space="preserve">We </w:t>
      </w:r>
      <w:r w:rsidR="00920958">
        <w:rPr>
          <w:lang w:val="en-NZ"/>
        </w:rPr>
        <w:t xml:space="preserve">consider </w:t>
      </w:r>
      <w:r>
        <w:rPr>
          <w:lang w:val="en-NZ"/>
        </w:rPr>
        <w:t xml:space="preserve">this has arisen because the </w:t>
      </w:r>
      <w:r w:rsidR="007B3C73">
        <w:rPr>
          <w:lang w:val="en-NZ"/>
        </w:rPr>
        <w:t>“</w:t>
      </w:r>
      <w:r>
        <w:rPr>
          <w:lang w:val="en-NZ"/>
        </w:rPr>
        <w:t>principal settlor</w:t>
      </w:r>
      <w:r w:rsidR="007B3C73">
        <w:rPr>
          <w:lang w:val="en-NZ"/>
        </w:rPr>
        <w:t>”</w:t>
      </w:r>
      <w:r>
        <w:rPr>
          <w:lang w:val="en-NZ"/>
        </w:rPr>
        <w:t xml:space="preserve"> definition </w:t>
      </w:r>
      <w:r w:rsidR="00E320D8">
        <w:rPr>
          <w:lang w:val="en-NZ"/>
        </w:rPr>
        <w:t xml:space="preserve">looks at </w:t>
      </w:r>
      <w:r>
        <w:rPr>
          <w:lang w:val="en-NZ"/>
        </w:rPr>
        <w:t>how much “property” has been settled in the trusts</w:t>
      </w:r>
      <w:r w:rsidR="00F16E3E">
        <w:rPr>
          <w:lang w:val="en-NZ"/>
        </w:rPr>
        <w:t>.  W</w:t>
      </w:r>
      <w:r w:rsidR="009A583E">
        <w:rPr>
          <w:lang w:val="en-NZ"/>
        </w:rPr>
        <w:t>hat transfers would count as “property” is unclear.</w:t>
      </w:r>
    </w:p>
    <w:p w:rsidR="004C7BFC" w:rsidRDefault="004C7BFC" w:rsidP="000C315D">
      <w:pPr>
        <w:rPr>
          <w:lang w:val="en-NZ"/>
        </w:rPr>
      </w:pPr>
    </w:p>
    <w:p w:rsidR="004C7BFC" w:rsidRDefault="004C7BFC" w:rsidP="000C315D">
      <w:pPr>
        <w:rPr>
          <w:lang w:val="en-NZ"/>
        </w:rPr>
      </w:pPr>
      <w:r>
        <w:rPr>
          <w:lang w:val="en-NZ"/>
        </w:rPr>
        <w:t xml:space="preserve">We recommend </w:t>
      </w:r>
      <w:r w:rsidR="004C7BF3">
        <w:rPr>
          <w:lang w:val="en-NZ"/>
        </w:rPr>
        <w:t>clarifying this provision by having the principal</w:t>
      </w:r>
      <w:r w:rsidR="0015620C">
        <w:rPr>
          <w:lang w:val="en-NZ"/>
        </w:rPr>
        <w:t xml:space="preserve"> settlor</w:t>
      </w:r>
      <w:r w:rsidR="004C7BF3">
        <w:rPr>
          <w:lang w:val="en-NZ"/>
        </w:rPr>
        <w:t xml:space="preserve"> definition consider all transfers of value to</w:t>
      </w:r>
      <w:r w:rsidR="003E2189">
        <w:rPr>
          <w:lang w:val="en-NZ"/>
        </w:rPr>
        <w:t xml:space="preserve"> the</w:t>
      </w:r>
      <w:r w:rsidR="004C7BF3">
        <w:rPr>
          <w:lang w:val="en-NZ"/>
        </w:rPr>
        <w:t xml:space="preserve"> trust except transfers that are the provision of services at below market value</w:t>
      </w:r>
      <w:r w:rsidR="00F16E3E">
        <w:rPr>
          <w:lang w:val="en-NZ"/>
        </w:rPr>
        <w:t>.  W</w:t>
      </w:r>
      <w:r>
        <w:rPr>
          <w:lang w:val="en-NZ"/>
        </w:rPr>
        <w:t>e believe this will provide greater certainty in the section</w:t>
      </w:r>
      <w:r w:rsidR="00F16E3E">
        <w:rPr>
          <w:lang w:val="en-NZ"/>
        </w:rPr>
        <w:t>.  T</w:t>
      </w:r>
      <w:r w:rsidR="00E320D8">
        <w:rPr>
          <w:lang w:val="en-NZ"/>
        </w:rPr>
        <w:t>his approach is consistent with that used for defining a settlor for the purposes of the associated person definitions.</w:t>
      </w:r>
    </w:p>
    <w:p w:rsidR="000C315D" w:rsidRPr="00DB4CC5" w:rsidRDefault="000C315D" w:rsidP="000C315D">
      <w:pPr>
        <w:rPr>
          <w:lang w:val="en-NZ"/>
        </w:rPr>
      </w:pPr>
    </w:p>
    <w:p w:rsidR="000C315D" w:rsidRPr="00DB4CC5" w:rsidRDefault="000C315D" w:rsidP="000C315D">
      <w:pPr>
        <w:pStyle w:val="Heading2"/>
        <w:rPr>
          <w:lang w:val="en-NZ"/>
        </w:rPr>
      </w:pPr>
      <w:r w:rsidRPr="00DB4CC5">
        <w:rPr>
          <w:lang w:val="en-NZ"/>
        </w:rPr>
        <w:t>Recommendation</w:t>
      </w:r>
    </w:p>
    <w:p w:rsidR="000C315D" w:rsidRDefault="000C315D" w:rsidP="000C315D">
      <w:pPr>
        <w:rPr>
          <w:lang w:val="en-NZ"/>
        </w:rPr>
      </w:pPr>
    </w:p>
    <w:p w:rsidR="000C315D" w:rsidRDefault="000C315D" w:rsidP="00B52730">
      <w:pPr>
        <w:rPr>
          <w:lang w:val="en-NZ"/>
        </w:rPr>
      </w:pPr>
      <w:r>
        <w:rPr>
          <w:lang w:val="en-NZ"/>
        </w:rPr>
        <w:t xml:space="preserve">That the submission be </w:t>
      </w:r>
      <w:r w:rsidR="004C7BFC">
        <w:rPr>
          <w:lang w:val="en-NZ"/>
        </w:rPr>
        <w:t>accepted</w:t>
      </w:r>
      <w:r w:rsidR="00395580">
        <w:rPr>
          <w:lang w:val="en-NZ"/>
        </w:rPr>
        <w:t>,</w:t>
      </w:r>
      <w:r w:rsidR="004C7BFC">
        <w:rPr>
          <w:lang w:val="en-NZ"/>
        </w:rPr>
        <w:t xml:space="preserve"> subject to </w:t>
      </w:r>
      <w:r w:rsidR="00DE113B">
        <w:rPr>
          <w:lang w:val="en-NZ"/>
        </w:rPr>
        <w:t>officials’</w:t>
      </w:r>
      <w:r w:rsidR="004C7BFC">
        <w:rPr>
          <w:lang w:val="en-NZ"/>
        </w:rPr>
        <w:t xml:space="preserve"> comments</w:t>
      </w:r>
      <w:r>
        <w:rPr>
          <w:lang w:val="en-NZ"/>
        </w:rPr>
        <w:t>.</w:t>
      </w:r>
    </w:p>
    <w:p w:rsidR="009E2F0D" w:rsidRPr="00DB4CC5" w:rsidRDefault="009E2F0D" w:rsidP="009E2F0D">
      <w:pPr>
        <w:pBdr>
          <w:bottom w:val="single" w:sz="4" w:space="1" w:color="auto"/>
        </w:pBdr>
        <w:rPr>
          <w:lang w:val="en-NZ"/>
        </w:rPr>
      </w:pPr>
    </w:p>
    <w:p w:rsidR="009E2F0D" w:rsidRDefault="009E2F0D" w:rsidP="007E7996"/>
    <w:p w:rsidR="007E7996" w:rsidRPr="007E7996" w:rsidRDefault="007E7996" w:rsidP="007E7996"/>
    <w:p w:rsidR="009E2F0D" w:rsidRPr="00DB4CC5" w:rsidRDefault="009E2F0D" w:rsidP="009E2F0D">
      <w:pPr>
        <w:pStyle w:val="Heading5"/>
        <w:ind w:left="794" w:hanging="794"/>
        <w:rPr>
          <w:lang w:val="en-NZ"/>
        </w:rPr>
      </w:pPr>
      <w:bookmarkStart w:id="50" w:name="_Toc432411938"/>
      <w:r w:rsidRPr="00DB4CC5">
        <w:rPr>
          <w:lang w:val="en-NZ"/>
        </w:rPr>
        <w:t>Issue:</w:t>
      </w:r>
      <w:r w:rsidRPr="00DB4CC5">
        <w:rPr>
          <w:lang w:val="en-NZ"/>
        </w:rPr>
        <w:tab/>
      </w:r>
      <w:r>
        <w:rPr>
          <w:lang w:val="en-NZ"/>
        </w:rPr>
        <w:t>Use of term “value”</w:t>
      </w:r>
      <w:bookmarkEnd w:id="50"/>
    </w:p>
    <w:p w:rsidR="009E2F0D" w:rsidRPr="00DB4CC5" w:rsidRDefault="009E2F0D" w:rsidP="009E2F0D">
      <w:pPr>
        <w:rPr>
          <w:lang w:val="en-NZ"/>
        </w:rPr>
      </w:pPr>
    </w:p>
    <w:p w:rsidR="009E2F0D" w:rsidRPr="00DB4CC5" w:rsidRDefault="009E2F0D" w:rsidP="009E2F0D">
      <w:pPr>
        <w:rPr>
          <w:lang w:val="en-NZ"/>
        </w:rPr>
      </w:pPr>
    </w:p>
    <w:p w:rsidR="009E2F0D" w:rsidRPr="00DB4CC5" w:rsidRDefault="009E2F0D" w:rsidP="009E2F0D">
      <w:pPr>
        <w:pStyle w:val="Heading2"/>
        <w:rPr>
          <w:lang w:val="en-NZ"/>
        </w:rPr>
      </w:pPr>
      <w:r w:rsidRPr="00DB4CC5">
        <w:rPr>
          <w:lang w:val="en-NZ"/>
        </w:rPr>
        <w:t>Submission</w:t>
      </w:r>
    </w:p>
    <w:p w:rsidR="009E2F0D" w:rsidRPr="00DB4CC5" w:rsidRDefault="009E2F0D" w:rsidP="009E2F0D">
      <w:pPr>
        <w:pStyle w:val="Heading4"/>
        <w:rPr>
          <w:lang w:val="en-NZ"/>
        </w:rPr>
      </w:pPr>
      <w:r>
        <w:rPr>
          <w:lang w:val="en-NZ"/>
        </w:rPr>
        <w:t>(</w:t>
      </w:r>
      <w:proofErr w:type="spellStart"/>
      <w:proofErr w:type="gramStart"/>
      <w:r>
        <w:rPr>
          <w:lang w:val="en-NZ"/>
        </w:rPr>
        <w:t>nsaTax</w:t>
      </w:r>
      <w:proofErr w:type="spellEnd"/>
      <w:proofErr w:type="gramEnd"/>
      <w:r>
        <w:rPr>
          <w:lang w:val="en-NZ"/>
        </w:rPr>
        <w:t>)</w:t>
      </w:r>
    </w:p>
    <w:p w:rsidR="009E2F0D" w:rsidRPr="00DB4CC5" w:rsidRDefault="009E2F0D" w:rsidP="009E2F0D">
      <w:pPr>
        <w:tabs>
          <w:tab w:val="left" w:pos="5295"/>
        </w:tabs>
        <w:rPr>
          <w:lang w:val="en-NZ"/>
        </w:rPr>
      </w:pPr>
    </w:p>
    <w:p w:rsidR="009E2F0D" w:rsidRPr="00DB4CC5" w:rsidRDefault="009E2F0D" w:rsidP="009E2F0D">
      <w:pPr>
        <w:rPr>
          <w:lang w:val="en-NZ"/>
        </w:rPr>
      </w:pPr>
      <w:r>
        <w:rPr>
          <w:lang w:val="en-NZ"/>
        </w:rPr>
        <w:t>The use of the term “value” is unclear</w:t>
      </w:r>
      <w:r w:rsidR="00F16E3E">
        <w:rPr>
          <w:lang w:val="en-NZ"/>
        </w:rPr>
        <w:t>.  I</w:t>
      </w:r>
      <w:r>
        <w:rPr>
          <w:lang w:val="en-NZ"/>
        </w:rPr>
        <w:t>t is assumed that this is meant to be market value</w:t>
      </w:r>
      <w:r w:rsidR="00F16E3E">
        <w:rPr>
          <w:lang w:val="en-NZ"/>
        </w:rPr>
        <w:t>.  I</w:t>
      </w:r>
      <w:r>
        <w:rPr>
          <w:lang w:val="en-NZ"/>
        </w:rPr>
        <w:t>f so this should be made clear.</w:t>
      </w:r>
    </w:p>
    <w:p w:rsidR="009E2F0D" w:rsidRPr="00DB4CC5" w:rsidRDefault="009E2F0D" w:rsidP="009E2F0D">
      <w:pPr>
        <w:rPr>
          <w:lang w:val="en-NZ"/>
        </w:rPr>
      </w:pPr>
    </w:p>
    <w:p w:rsidR="009E2F0D" w:rsidRPr="00DB4CC5" w:rsidRDefault="009E2F0D" w:rsidP="009E2F0D">
      <w:pPr>
        <w:pStyle w:val="Heading2"/>
        <w:rPr>
          <w:lang w:val="en-NZ"/>
        </w:rPr>
      </w:pPr>
      <w:r w:rsidRPr="00DB4CC5">
        <w:rPr>
          <w:lang w:val="en-NZ"/>
        </w:rPr>
        <w:t>Comment</w:t>
      </w:r>
    </w:p>
    <w:p w:rsidR="009E2F0D" w:rsidRDefault="009E2F0D" w:rsidP="009E2F0D">
      <w:pPr>
        <w:rPr>
          <w:lang w:val="en-NZ"/>
        </w:rPr>
      </w:pPr>
    </w:p>
    <w:p w:rsidR="009E2F0D" w:rsidRDefault="009E2F0D" w:rsidP="009E2F0D">
      <w:pPr>
        <w:rPr>
          <w:lang w:val="en-NZ"/>
        </w:rPr>
      </w:pPr>
      <w:r>
        <w:rPr>
          <w:lang w:val="en-NZ"/>
        </w:rPr>
        <w:t xml:space="preserve">The term “value” is meant to </w:t>
      </w:r>
      <w:r w:rsidR="00610AE9">
        <w:rPr>
          <w:lang w:val="en-NZ"/>
        </w:rPr>
        <w:t xml:space="preserve">refer to </w:t>
      </w:r>
      <w:r>
        <w:rPr>
          <w:lang w:val="en-NZ"/>
        </w:rPr>
        <w:t>market value</w:t>
      </w:r>
      <w:r w:rsidR="00F16E3E">
        <w:rPr>
          <w:lang w:val="en-NZ"/>
        </w:rPr>
        <w:t>.  W</w:t>
      </w:r>
      <w:r>
        <w:rPr>
          <w:lang w:val="en-NZ"/>
        </w:rPr>
        <w:t>e agree this should be made clear.</w:t>
      </w:r>
    </w:p>
    <w:p w:rsidR="009E2F0D" w:rsidRPr="00DB4CC5" w:rsidRDefault="009E2F0D" w:rsidP="009E2F0D">
      <w:pPr>
        <w:rPr>
          <w:lang w:val="en-NZ"/>
        </w:rPr>
      </w:pPr>
    </w:p>
    <w:p w:rsidR="009E2F0D" w:rsidRPr="00DB4CC5" w:rsidRDefault="009E2F0D" w:rsidP="009E2F0D">
      <w:pPr>
        <w:pStyle w:val="Heading2"/>
        <w:rPr>
          <w:lang w:val="en-NZ"/>
        </w:rPr>
      </w:pPr>
      <w:r w:rsidRPr="00DB4CC5">
        <w:rPr>
          <w:lang w:val="en-NZ"/>
        </w:rPr>
        <w:t>Recommendation</w:t>
      </w:r>
    </w:p>
    <w:p w:rsidR="009E2F0D" w:rsidRDefault="009E2F0D" w:rsidP="009E2F0D">
      <w:pPr>
        <w:rPr>
          <w:lang w:val="en-NZ"/>
        </w:rPr>
      </w:pPr>
    </w:p>
    <w:p w:rsidR="009E2F0D" w:rsidRDefault="009E2F0D" w:rsidP="009E2F0D">
      <w:pPr>
        <w:rPr>
          <w:lang w:val="en-NZ"/>
        </w:rPr>
      </w:pPr>
      <w:r>
        <w:rPr>
          <w:lang w:val="en-NZ"/>
        </w:rPr>
        <w:t>That the submission be accepted.</w:t>
      </w:r>
    </w:p>
    <w:p w:rsidR="000C315D" w:rsidRPr="00DB4CC5" w:rsidRDefault="000C315D" w:rsidP="000C315D">
      <w:pPr>
        <w:pBdr>
          <w:bottom w:val="single" w:sz="4" w:space="1" w:color="auto"/>
        </w:pBdr>
        <w:rPr>
          <w:lang w:val="en-NZ"/>
        </w:rPr>
      </w:pPr>
    </w:p>
    <w:p w:rsidR="000C315D" w:rsidRDefault="000C315D" w:rsidP="00B52730">
      <w:pPr>
        <w:rPr>
          <w:lang w:val="en-NZ"/>
        </w:rPr>
      </w:pPr>
    </w:p>
    <w:p w:rsidR="007E7996" w:rsidRPr="00DB4CC5" w:rsidRDefault="007E7996" w:rsidP="00B52730">
      <w:pPr>
        <w:rPr>
          <w:lang w:val="en-NZ"/>
        </w:rPr>
      </w:pPr>
    </w:p>
    <w:p w:rsidR="00B52730" w:rsidRPr="00DB4CC5" w:rsidRDefault="00B52730" w:rsidP="00B52730">
      <w:pPr>
        <w:pStyle w:val="Heading5"/>
        <w:ind w:left="794" w:hanging="794"/>
        <w:rPr>
          <w:lang w:val="en-NZ"/>
        </w:rPr>
      </w:pPr>
      <w:bookmarkStart w:id="51" w:name="_Toc432411939"/>
      <w:r w:rsidRPr="00DB4CC5">
        <w:rPr>
          <w:lang w:val="en-NZ"/>
        </w:rPr>
        <w:t>Issue:</w:t>
      </w:r>
      <w:r w:rsidRPr="00DB4CC5">
        <w:rPr>
          <w:lang w:val="en-NZ"/>
        </w:rPr>
        <w:tab/>
      </w:r>
      <w:r w:rsidR="00396767">
        <w:rPr>
          <w:lang w:val="en-NZ"/>
        </w:rPr>
        <w:t>Multiple principal settlors</w:t>
      </w:r>
      <w:bookmarkEnd w:id="51"/>
    </w:p>
    <w:p w:rsidR="00B52730" w:rsidRPr="00DB4CC5" w:rsidRDefault="00B52730" w:rsidP="00B52730">
      <w:pPr>
        <w:rPr>
          <w:lang w:val="en-NZ"/>
        </w:rPr>
      </w:pPr>
    </w:p>
    <w:p w:rsidR="00B52730" w:rsidRPr="00DB4CC5" w:rsidRDefault="00B52730" w:rsidP="00B52730">
      <w:pPr>
        <w:rPr>
          <w:lang w:val="en-NZ"/>
        </w:rPr>
      </w:pPr>
    </w:p>
    <w:p w:rsidR="00B52730" w:rsidRPr="00DB4CC5" w:rsidRDefault="00B52730" w:rsidP="00B52730">
      <w:pPr>
        <w:pStyle w:val="Heading2"/>
        <w:rPr>
          <w:lang w:val="en-NZ"/>
        </w:rPr>
      </w:pPr>
      <w:r w:rsidRPr="00DB4CC5">
        <w:rPr>
          <w:lang w:val="en-NZ"/>
        </w:rPr>
        <w:t>Submission</w:t>
      </w:r>
    </w:p>
    <w:p w:rsidR="00B52730" w:rsidRPr="00DB4CC5" w:rsidRDefault="00B52730" w:rsidP="00B52730">
      <w:pPr>
        <w:pStyle w:val="Heading4"/>
        <w:rPr>
          <w:lang w:val="en-NZ"/>
        </w:rPr>
      </w:pPr>
      <w:r>
        <w:rPr>
          <w:lang w:val="en-NZ"/>
        </w:rPr>
        <w:t>(Chartered Accountants Australia and New Zealand</w:t>
      </w:r>
      <w:r w:rsidR="00BD0C36">
        <w:rPr>
          <w:lang w:val="en-NZ"/>
        </w:rPr>
        <w:t xml:space="preserve">, </w:t>
      </w:r>
      <w:proofErr w:type="spellStart"/>
      <w:r w:rsidR="00BD0C36">
        <w:rPr>
          <w:lang w:val="en-NZ"/>
        </w:rPr>
        <w:t>nsaTax</w:t>
      </w:r>
      <w:proofErr w:type="spellEnd"/>
      <w:r>
        <w:rPr>
          <w:lang w:val="en-NZ"/>
        </w:rPr>
        <w:t>)</w:t>
      </w:r>
    </w:p>
    <w:p w:rsidR="00B52730" w:rsidRPr="00DB4CC5" w:rsidRDefault="00B52730" w:rsidP="00B52730">
      <w:pPr>
        <w:tabs>
          <w:tab w:val="left" w:pos="5295"/>
        </w:tabs>
        <w:rPr>
          <w:lang w:val="en-NZ"/>
        </w:rPr>
      </w:pPr>
    </w:p>
    <w:p w:rsidR="00B52730" w:rsidRDefault="00B52730" w:rsidP="00B52730">
      <w:pPr>
        <w:rPr>
          <w:lang w:val="en-NZ"/>
        </w:rPr>
      </w:pPr>
      <w:r>
        <w:rPr>
          <w:lang w:val="en-NZ"/>
        </w:rPr>
        <w:t xml:space="preserve">Where multiple people have provided equal value to a trust, it is unclear which of them </w:t>
      </w:r>
      <w:proofErr w:type="gramStart"/>
      <w:r w:rsidR="00395580">
        <w:rPr>
          <w:lang w:val="en-NZ"/>
        </w:rPr>
        <w:t xml:space="preserve">is </w:t>
      </w:r>
      <w:r w:rsidR="000E7CA9">
        <w:rPr>
          <w:lang w:val="en-NZ"/>
        </w:rPr>
        <w:t>principal settlor</w:t>
      </w:r>
      <w:proofErr w:type="gramEnd"/>
      <w:r>
        <w:rPr>
          <w:lang w:val="en-NZ"/>
        </w:rPr>
        <w:t>.</w:t>
      </w:r>
    </w:p>
    <w:p w:rsidR="00B52730" w:rsidRDefault="00B52730" w:rsidP="00B52730">
      <w:pPr>
        <w:rPr>
          <w:lang w:val="en-NZ"/>
        </w:rPr>
      </w:pPr>
    </w:p>
    <w:p w:rsidR="00B52730" w:rsidRPr="00DB4CC5" w:rsidRDefault="00B52730" w:rsidP="00B52730">
      <w:pPr>
        <w:rPr>
          <w:lang w:val="en-NZ"/>
        </w:rPr>
      </w:pPr>
      <w:r>
        <w:rPr>
          <w:lang w:val="en-NZ"/>
        </w:rPr>
        <w:t>We assume that neither of them will be for the purposes of section CB 16A</w:t>
      </w:r>
      <w:r w:rsidR="003E24DE">
        <w:rPr>
          <w:lang w:val="en-NZ"/>
        </w:rPr>
        <w:t>.</w:t>
      </w:r>
      <w:r>
        <w:rPr>
          <w:lang w:val="en-NZ"/>
        </w:rPr>
        <w:t xml:space="preserve"> </w:t>
      </w:r>
      <w:r w:rsidRPr="009B557D">
        <w:rPr>
          <w:i/>
          <w:lang w:val="en-NZ"/>
        </w:rPr>
        <w:t>(Chartered Accountants Australia and New Zealand)</w:t>
      </w:r>
    </w:p>
    <w:p w:rsidR="00B52730" w:rsidRPr="00DB4CC5" w:rsidRDefault="00B52730" w:rsidP="00B52730">
      <w:pPr>
        <w:rPr>
          <w:lang w:val="en-NZ"/>
        </w:rPr>
      </w:pPr>
    </w:p>
    <w:p w:rsidR="00B52730" w:rsidRPr="00DB4CC5" w:rsidRDefault="00B52730" w:rsidP="00B52730">
      <w:pPr>
        <w:pStyle w:val="Heading2"/>
        <w:rPr>
          <w:lang w:val="en-NZ"/>
        </w:rPr>
      </w:pPr>
      <w:r w:rsidRPr="00DB4CC5">
        <w:rPr>
          <w:lang w:val="en-NZ"/>
        </w:rPr>
        <w:t>Comment</w:t>
      </w:r>
    </w:p>
    <w:p w:rsidR="00B52730" w:rsidRDefault="00B52730" w:rsidP="00B52730">
      <w:pPr>
        <w:rPr>
          <w:lang w:val="en-NZ"/>
        </w:rPr>
      </w:pPr>
    </w:p>
    <w:p w:rsidR="00503F38" w:rsidRDefault="00503F38" w:rsidP="00B52730">
      <w:pPr>
        <w:rPr>
          <w:lang w:val="en-NZ"/>
        </w:rPr>
      </w:pPr>
      <w:r>
        <w:rPr>
          <w:lang w:val="en-NZ"/>
        </w:rPr>
        <w:t xml:space="preserve">Where multiple people have provided equal value to the trust, it is intended that </w:t>
      </w:r>
      <w:r w:rsidR="008F5A3B">
        <w:rPr>
          <w:lang w:val="en-NZ"/>
        </w:rPr>
        <w:t>all of them</w:t>
      </w:r>
      <w:r>
        <w:rPr>
          <w:lang w:val="en-NZ"/>
        </w:rPr>
        <w:t xml:space="preserve"> are treated as principal settlor</w:t>
      </w:r>
      <w:r w:rsidR="00573448">
        <w:rPr>
          <w:lang w:val="en-NZ"/>
        </w:rPr>
        <w:t>s</w:t>
      </w:r>
      <w:r>
        <w:rPr>
          <w:lang w:val="en-NZ"/>
        </w:rPr>
        <w:t>.</w:t>
      </w:r>
    </w:p>
    <w:p w:rsidR="00B52730" w:rsidRPr="00DB4CC5" w:rsidRDefault="00B52730" w:rsidP="00B52730">
      <w:pPr>
        <w:rPr>
          <w:lang w:val="en-NZ"/>
        </w:rPr>
      </w:pPr>
    </w:p>
    <w:p w:rsidR="00B52730" w:rsidRPr="00DB4CC5" w:rsidRDefault="00B52730" w:rsidP="00B52730">
      <w:pPr>
        <w:pStyle w:val="Heading2"/>
        <w:rPr>
          <w:lang w:val="en-NZ"/>
        </w:rPr>
      </w:pPr>
      <w:r w:rsidRPr="00DB4CC5">
        <w:rPr>
          <w:lang w:val="en-NZ"/>
        </w:rPr>
        <w:t>Recommendation</w:t>
      </w:r>
    </w:p>
    <w:p w:rsidR="00B52730" w:rsidRPr="00DB4CC5" w:rsidRDefault="00B52730" w:rsidP="00B52730">
      <w:pPr>
        <w:rPr>
          <w:lang w:val="en-NZ"/>
        </w:rPr>
      </w:pPr>
    </w:p>
    <w:p w:rsidR="00B52730" w:rsidRPr="00DB4CC5" w:rsidRDefault="00B52730" w:rsidP="00B52730">
      <w:pPr>
        <w:rPr>
          <w:lang w:val="en-NZ"/>
        </w:rPr>
      </w:pPr>
      <w:r w:rsidRPr="00DB4CC5">
        <w:rPr>
          <w:lang w:val="en-NZ"/>
        </w:rPr>
        <w:t xml:space="preserve">That the submission be </w:t>
      </w:r>
      <w:r w:rsidR="00503F38">
        <w:rPr>
          <w:lang w:val="en-NZ"/>
        </w:rPr>
        <w:t>accepted</w:t>
      </w:r>
      <w:r w:rsidR="00395580">
        <w:rPr>
          <w:lang w:val="en-NZ"/>
        </w:rPr>
        <w:t>,</w:t>
      </w:r>
      <w:r w:rsidR="00503F38">
        <w:rPr>
          <w:lang w:val="en-NZ"/>
        </w:rPr>
        <w:t xml:space="preserve"> subject to officials’ comments.</w:t>
      </w:r>
    </w:p>
    <w:p w:rsidR="00BD0C36" w:rsidRPr="00DB4CC5" w:rsidRDefault="00BD0C36" w:rsidP="00BD0C36">
      <w:pPr>
        <w:pBdr>
          <w:bottom w:val="single" w:sz="4" w:space="1" w:color="auto"/>
        </w:pBdr>
        <w:rPr>
          <w:lang w:val="en-NZ"/>
        </w:rPr>
      </w:pPr>
    </w:p>
    <w:p w:rsidR="00BD0C36" w:rsidRPr="00DB4CC5" w:rsidRDefault="00BD0C36" w:rsidP="00BD0C36">
      <w:pPr>
        <w:rPr>
          <w:lang w:val="en-NZ"/>
        </w:rPr>
      </w:pPr>
    </w:p>
    <w:p w:rsidR="003B01BC" w:rsidRPr="00892E85" w:rsidRDefault="003B01BC">
      <w:pPr>
        <w:jc w:val="left"/>
        <w:rPr>
          <w:szCs w:val="24"/>
          <w:lang w:val="en-NZ"/>
        </w:rPr>
      </w:pPr>
    </w:p>
    <w:p w:rsidR="00BD0C36" w:rsidRPr="00DB4CC5" w:rsidRDefault="00BD0C36" w:rsidP="00BD0C36">
      <w:pPr>
        <w:pStyle w:val="Heading5"/>
        <w:ind w:left="794" w:hanging="794"/>
        <w:rPr>
          <w:lang w:val="en-NZ"/>
        </w:rPr>
      </w:pPr>
      <w:bookmarkStart w:id="52" w:name="_Toc432411940"/>
      <w:r w:rsidRPr="00DB4CC5">
        <w:rPr>
          <w:lang w:val="en-NZ"/>
        </w:rPr>
        <w:t>Issue:</w:t>
      </w:r>
      <w:r w:rsidRPr="00DB4CC5">
        <w:rPr>
          <w:lang w:val="en-NZ"/>
        </w:rPr>
        <w:tab/>
      </w:r>
      <w:r w:rsidR="002126CB">
        <w:rPr>
          <w:lang w:val="en-NZ"/>
        </w:rPr>
        <w:t>Focus on ownership</w:t>
      </w:r>
      <w:bookmarkEnd w:id="52"/>
    </w:p>
    <w:p w:rsidR="00BD0C36" w:rsidRPr="00DB4CC5" w:rsidRDefault="00BD0C36" w:rsidP="00BD0C36">
      <w:pPr>
        <w:rPr>
          <w:lang w:val="en-NZ"/>
        </w:rPr>
      </w:pPr>
    </w:p>
    <w:p w:rsidR="00BD0C36" w:rsidRPr="00DB4CC5" w:rsidRDefault="00BD0C36" w:rsidP="00BD0C36">
      <w:pPr>
        <w:rPr>
          <w:lang w:val="en-NZ"/>
        </w:rPr>
      </w:pPr>
    </w:p>
    <w:p w:rsidR="00BD0C36" w:rsidRPr="00DB4CC5" w:rsidRDefault="00BD0C36" w:rsidP="00BD0C36">
      <w:pPr>
        <w:pStyle w:val="Heading2"/>
        <w:rPr>
          <w:lang w:val="en-NZ"/>
        </w:rPr>
      </w:pPr>
      <w:r w:rsidRPr="00DB4CC5">
        <w:rPr>
          <w:lang w:val="en-NZ"/>
        </w:rPr>
        <w:t>Submission</w:t>
      </w:r>
    </w:p>
    <w:p w:rsidR="00BD0C36" w:rsidRPr="00DB4CC5" w:rsidRDefault="00BD0C36" w:rsidP="00BD0C36">
      <w:pPr>
        <w:pStyle w:val="Heading4"/>
        <w:rPr>
          <w:lang w:val="en-NZ"/>
        </w:rPr>
      </w:pPr>
      <w:r>
        <w:rPr>
          <w:lang w:val="en-NZ"/>
        </w:rPr>
        <w:t>(</w:t>
      </w:r>
      <w:proofErr w:type="spellStart"/>
      <w:proofErr w:type="gramStart"/>
      <w:r>
        <w:rPr>
          <w:lang w:val="en-NZ"/>
        </w:rPr>
        <w:t>nsaTax</w:t>
      </w:r>
      <w:proofErr w:type="spellEnd"/>
      <w:proofErr w:type="gramEnd"/>
      <w:r>
        <w:rPr>
          <w:lang w:val="en-NZ"/>
        </w:rPr>
        <w:t>)</w:t>
      </w:r>
    </w:p>
    <w:p w:rsidR="00BD0C36" w:rsidRPr="00DB4CC5" w:rsidRDefault="00BD0C36" w:rsidP="00BD0C36">
      <w:pPr>
        <w:tabs>
          <w:tab w:val="left" w:pos="5295"/>
        </w:tabs>
        <w:rPr>
          <w:lang w:val="en-NZ"/>
        </w:rPr>
      </w:pPr>
    </w:p>
    <w:p w:rsidR="00BD0C36" w:rsidRDefault="00BD0C36" w:rsidP="00BD0C36">
      <w:pPr>
        <w:rPr>
          <w:lang w:val="en-NZ"/>
        </w:rPr>
      </w:pPr>
      <w:r>
        <w:rPr>
          <w:lang w:val="en-NZ"/>
        </w:rPr>
        <w:t>The main home exclusions should focus on both ownership and use of the relevant property</w:t>
      </w:r>
      <w:r w:rsidR="00F16E3E">
        <w:rPr>
          <w:lang w:val="en-NZ"/>
        </w:rPr>
        <w:t>.  C</w:t>
      </w:r>
      <w:r>
        <w:rPr>
          <w:lang w:val="en-NZ"/>
        </w:rPr>
        <w:t>urrently, the proposed legislation focuses solely on use</w:t>
      </w:r>
      <w:r w:rsidR="00F16E3E">
        <w:rPr>
          <w:lang w:val="en-NZ"/>
        </w:rPr>
        <w:t>.  T</w:t>
      </w:r>
      <w:r w:rsidR="00915503">
        <w:rPr>
          <w:lang w:val="en-NZ"/>
        </w:rPr>
        <w:t>he main home should be the one dwelling which is owned by the relevant vendor.</w:t>
      </w:r>
    </w:p>
    <w:p w:rsidR="00BD0C36" w:rsidRDefault="00BD0C36" w:rsidP="00BD0C36">
      <w:pPr>
        <w:rPr>
          <w:lang w:val="en-NZ"/>
        </w:rPr>
      </w:pPr>
    </w:p>
    <w:p w:rsidR="00BD0C36" w:rsidRPr="00DB4CC5" w:rsidRDefault="00BD0C36" w:rsidP="00BD0C36">
      <w:pPr>
        <w:rPr>
          <w:lang w:val="en-NZ"/>
        </w:rPr>
      </w:pPr>
      <w:r>
        <w:rPr>
          <w:lang w:val="en-NZ"/>
        </w:rPr>
        <w:t>A person could have a rental property that they reside in which is their main home</w:t>
      </w:r>
      <w:r w:rsidR="00F16E3E">
        <w:rPr>
          <w:lang w:val="en-NZ"/>
        </w:rPr>
        <w:t>.  T</w:t>
      </w:r>
      <w:r>
        <w:rPr>
          <w:lang w:val="en-NZ"/>
        </w:rPr>
        <w:t xml:space="preserve">his would mean that a separate property that they own would not </w:t>
      </w:r>
      <w:r w:rsidR="00915503">
        <w:rPr>
          <w:lang w:val="en-NZ"/>
        </w:rPr>
        <w:t>be able to utilise the main home exception.</w:t>
      </w:r>
    </w:p>
    <w:p w:rsidR="00BD0C36" w:rsidRPr="00DB4CC5" w:rsidRDefault="00BD0C36" w:rsidP="00BD0C36">
      <w:pPr>
        <w:rPr>
          <w:lang w:val="en-NZ"/>
        </w:rPr>
      </w:pPr>
    </w:p>
    <w:p w:rsidR="00BD0C36" w:rsidRPr="00DB4CC5" w:rsidRDefault="00BD0C36" w:rsidP="00BD0C36">
      <w:pPr>
        <w:pStyle w:val="Heading2"/>
        <w:rPr>
          <w:lang w:val="en-NZ"/>
        </w:rPr>
      </w:pPr>
      <w:r w:rsidRPr="00DB4CC5">
        <w:rPr>
          <w:lang w:val="en-NZ"/>
        </w:rPr>
        <w:t>Comment</w:t>
      </w:r>
    </w:p>
    <w:p w:rsidR="00BD0C36" w:rsidRDefault="00BD0C36" w:rsidP="00BD0C36">
      <w:pPr>
        <w:rPr>
          <w:lang w:val="en-NZ"/>
        </w:rPr>
      </w:pPr>
    </w:p>
    <w:p w:rsidR="00503F38" w:rsidRDefault="002126CB" w:rsidP="00BD0C36">
      <w:pPr>
        <w:rPr>
          <w:lang w:val="en-NZ"/>
        </w:rPr>
      </w:pPr>
      <w:r>
        <w:rPr>
          <w:lang w:val="en-NZ"/>
        </w:rPr>
        <w:t xml:space="preserve">The main home exception is not intended to be a </w:t>
      </w:r>
      <w:r w:rsidR="003D34CF">
        <w:rPr>
          <w:lang w:val="en-NZ"/>
        </w:rPr>
        <w:t>rule</w:t>
      </w:r>
      <w:r>
        <w:rPr>
          <w:lang w:val="en-NZ"/>
        </w:rPr>
        <w:t xml:space="preserve"> that enables all </w:t>
      </w:r>
      <w:r w:rsidR="00342757">
        <w:rPr>
          <w:lang w:val="en-NZ"/>
        </w:rPr>
        <w:t>people</w:t>
      </w:r>
      <w:r>
        <w:rPr>
          <w:lang w:val="en-NZ"/>
        </w:rPr>
        <w:t xml:space="preserve"> to have one property exempted</w:t>
      </w:r>
      <w:r w:rsidR="00F16E3E">
        <w:rPr>
          <w:lang w:val="en-NZ"/>
        </w:rPr>
        <w:t>.  I</w:t>
      </w:r>
      <w:r>
        <w:rPr>
          <w:lang w:val="en-NZ"/>
        </w:rPr>
        <w:t>t is intended to only apply when the property disposed of is</w:t>
      </w:r>
      <w:r w:rsidR="009F151A">
        <w:rPr>
          <w:lang w:val="en-NZ"/>
        </w:rPr>
        <w:t xml:space="preserve"> </w:t>
      </w:r>
      <w:r w:rsidR="00610AE9">
        <w:rPr>
          <w:lang w:val="en-NZ"/>
        </w:rPr>
        <w:t xml:space="preserve">actually </w:t>
      </w:r>
      <w:r w:rsidR="006A209C">
        <w:rPr>
          <w:lang w:val="en-NZ"/>
        </w:rPr>
        <w:t>used as a person’s</w:t>
      </w:r>
      <w:r w:rsidR="009F151A">
        <w:rPr>
          <w:lang w:val="en-NZ"/>
        </w:rPr>
        <w:t xml:space="preserve"> main</w:t>
      </w:r>
      <w:r>
        <w:rPr>
          <w:lang w:val="en-NZ"/>
        </w:rPr>
        <w:t xml:space="preserve"> home.</w:t>
      </w:r>
    </w:p>
    <w:p w:rsidR="00BD0C36" w:rsidRPr="00DB4CC5" w:rsidRDefault="00BD0C36" w:rsidP="00BD0C36">
      <w:pPr>
        <w:rPr>
          <w:lang w:val="en-NZ"/>
        </w:rPr>
      </w:pPr>
    </w:p>
    <w:p w:rsidR="00BD0C36" w:rsidRPr="00DB4CC5" w:rsidRDefault="00BD0C36" w:rsidP="00BD0C36">
      <w:pPr>
        <w:pStyle w:val="Heading2"/>
        <w:rPr>
          <w:lang w:val="en-NZ"/>
        </w:rPr>
      </w:pPr>
      <w:r w:rsidRPr="00DB4CC5">
        <w:rPr>
          <w:lang w:val="en-NZ"/>
        </w:rPr>
        <w:t>Recommendation</w:t>
      </w:r>
    </w:p>
    <w:p w:rsidR="00BD0C36" w:rsidRPr="00DB4CC5" w:rsidRDefault="00BD0C36" w:rsidP="00BD0C36">
      <w:pPr>
        <w:rPr>
          <w:lang w:val="en-NZ"/>
        </w:rPr>
      </w:pPr>
    </w:p>
    <w:p w:rsidR="00BD0C36" w:rsidRPr="00DB4CC5" w:rsidRDefault="00BD0C36" w:rsidP="00BD0C36">
      <w:pPr>
        <w:rPr>
          <w:lang w:val="en-NZ"/>
        </w:rPr>
      </w:pPr>
      <w:r w:rsidRPr="00DB4CC5">
        <w:rPr>
          <w:lang w:val="en-NZ"/>
        </w:rPr>
        <w:t xml:space="preserve">That the submission be </w:t>
      </w:r>
      <w:r w:rsidR="002126CB">
        <w:rPr>
          <w:lang w:val="en-NZ"/>
        </w:rPr>
        <w:t>declined.</w:t>
      </w:r>
    </w:p>
    <w:p w:rsidR="00EE12E9" w:rsidRPr="00DB4CC5" w:rsidRDefault="00EE12E9" w:rsidP="00EE12E9">
      <w:pPr>
        <w:pBdr>
          <w:bottom w:val="single" w:sz="4" w:space="1" w:color="auto"/>
        </w:pBdr>
        <w:rPr>
          <w:lang w:val="en-NZ"/>
        </w:rPr>
      </w:pPr>
    </w:p>
    <w:p w:rsidR="00EE12E9" w:rsidRDefault="00EE12E9" w:rsidP="00EE12E9">
      <w:pPr>
        <w:rPr>
          <w:lang w:val="en-NZ"/>
        </w:rPr>
      </w:pPr>
    </w:p>
    <w:p w:rsidR="007E7996" w:rsidRPr="00DB4CC5" w:rsidRDefault="007E7996" w:rsidP="00EE12E9">
      <w:pPr>
        <w:rPr>
          <w:lang w:val="en-NZ"/>
        </w:rPr>
      </w:pPr>
    </w:p>
    <w:p w:rsidR="00EE12E9" w:rsidRPr="00DB4CC5" w:rsidRDefault="00EE12E9" w:rsidP="00EE12E9">
      <w:pPr>
        <w:pStyle w:val="Heading5"/>
        <w:ind w:left="794" w:hanging="794"/>
        <w:rPr>
          <w:lang w:val="en-NZ"/>
        </w:rPr>
      </w:pPr>
      <w:bookmarkStart w:id="53" w:name="_Toc432411941"/>
      <w:r w:rsidRPr="00DB4CC5">
        <w:rPr>
          <w:lang w:val="en-NZ"/>
        </w:rPr>
        <w:t>Issue:</w:t>
      </w:r>
      <w:r w:rsidRPr="00DB4CC5">
        <w:rPr>
          <w:lang w:val="en-NZ"/>
        </w:rPr>
        <w:tab/>
      </w:r>
      <w:r>
        <w:rPr>
          <w:lang w:val="en-NZ"/>
        </w:rPr>
        <w:t>Communal land</w:t>
      </w:r>
      <w:bookmarkEnd w:id="53"/>
    </w:p>
    <w:p w:rsidR="00EE12E9" w:rsidRPr="00DB4CC5" w:rsidRDefault="00EE12E9" w:rsidP="00EE12E9">
      <w:pPr>
        <w:rPr>
          <w:lang w:val="en-NZ"/>
        </w:rPr>
      </w:pPr>
    </w:p>
    <w:p w:rsidR="00EE12E9" w:rsidRPr="00DB4CC5" w:rsidRDefault="00EE12E9" w:rsidP="00EE12E9">
      <w:pPr>
        <w:rPr>
          <w:lang w:val="en-NZ"/>
        </w:rPr>
      </w:pPr>
    </w:p>
    <w:p w:rsidR="00EE12E9" w:rsidRPr="00DB4CC5" w:rsidRDefault="00EE12E9" w:rsidP="00EE12E9">
      <w:pPr>
        <w:pStyle w:val="Heading2"/>
        <w:rPr>
          <w:lang w:val="en-NZ"/>
        </w:rPr>
      </w:pPr>
      <w:r w:rsidRPr="00DB4CC5">
        <w:rPr>
          <w:lang w:val="en-NZ"/>
        </w:rPr>
        <w:t>Submission</w:t>
      </w:r>
    </w:p>
    <w:p w:rsidR="00EE12E9" w:rsidRPr="00DB4CC5" w:rsidRDefault="00EE12E9" w:rsidP="00EE12E9">
      <w:pPr>
        <w:pStyle w:val="Heading4"/>
        <w:rPr>
          <w:lang w:val="en-NZ"/>
        </w:rPr>
      </w:pPr>
      <w:r>
        <w:rPr>
          <w:lang w:val="en-NZ"/>
        </w:rPr>
        <w:t>(</w:t>
      </w:r>
      <w:proofErr w:type="spellStart"/>
      <w:proofErr w:type="gramStart"/>
      <w:r>
        <w:rPr>
          <w:lang w:val="en-NZ"/>
        </w:rPr>
        <w:t>nsaTax</w:t>
      </w:r>
      <w:proofErr w:type="spellEnd"/>
      <w:proofErr w:type="gramEnd"/>
      <w:r>
        <w:rPr>
          <w:lang w:val="en-NZ"/>
        </w:rPr>
        <w:t>)</w:t>
      </w:r>
    </w:p>
    <w:p w:rsidR="00EE12E9" w:rsidRPr="00DB4CC5" w:rsidRDefault="00EE12E9" w:rsidP="00EE12E9">
      <w:pPr>
        <w:tabs>
          <w:tab w:val="left" w:pos="5295"/>
        </w:tabs>
        <w:rPr>
          <w:lang w:val="en-NZ"/>
        </w:rPr>
      </w:pPr>
    </w:p>
    <w:p w:rsidR="00EE12E9" w:rsidRDefault="00EE12E9" w:rsidP="00EE12E9">
      <w:pPr>
        <w:rPr>
          <w:lang w:val="en-NZ"/>
        </w:rPr>
      </w:pPr>
      <w:r>
        <w:rPr>
          <w:lang w:val="en-NZ"/>
        </w:rPr>
        <w:t>Many subdivisions include both residential lots and a single communal or amenities block</w:t>
      </w:r>
      <w:r w:rsidR="00F16E3E">
        <w:rPr>
          <w:lang w:val="en-NZ"/>
        </w:rPr>
        <w:t>.  T</w:t>
      </w:r>
      <w:r>
        <w:rPr>
          <w:lang w:val="en-NZ"/>
        </w:rPr>
        <w:t>ypically, a purchaser will acquire a “normal” residential lot to build a dwelling on it together with an interest in a communal or amenities block</w:t>
      </w:r>
      <w:r w:rsidR="00F16E3E">
        <w:rPr>
          <w:lang w:val="en-NZ"/>
        </w:rPr>
        <w:t>.  M</w:t>
      </w:r>
      <w:r>
        <w:rPr>
          <w:lang w:val="en-NZ"/>
        </w:rPr>
        <w:t>ost often, the area of the communal lot will far exceed the area of the residential lot.</w:t>
      </w:r>
    </w:p>
    <w:p w:rsidR="00EE12E9" w:rsidRDefault="00EE12E9" w:rsidP="00EE12E9">
      <w:pPr>
        <w:rPr>
          <w:lang w:val="en-NZ"/>
        </w:rPr>
      </w:pPr>
    </w:p>
    <w:p w:rsidR="00EE12E9" w:rsidRDefault="00EE12E9" w:rsidP="00EE12E9">
      <w:pPr>
        <w:rPr>
          <w:lang w:val="en-NZ"/>
        </w:rPr>
      </w:pPr>
      <w:r>
        <w:rPr>
          <w:lang w:val="en-NZ"/>
        </w:rPr>
        <w:t>The legislation should be amended to include within the main home exclusion direct or indirect interest</w:t>
      </w:r>
      <w:r w:rsidR="003B01BC">
        <w:rPr>
          <w:lang w:val="en-NZ"/>
        </w:rPr>
        <w:t>s</w:t>
      </w:r>
      <w:r>
        <w:rPr>
          <w:lang w:val="en-NZ"/>
        </w:rPr>
        <w:t xml:space="preserve"> in such communal land</w:t>
      </w:r>
      <w:r w:rsidR="003B01BC">
        <w:rPr>
          <w:lang w:val="en-NZ"/>
        </w:rPr>
        <w:t>,</w:t>
      </w:r>
      <w:r>
        <w:rPr>
          <w:lang w:val="en-NZ"/>
        </w:rPr>
        <w:t xml:space="preserve"> which are required to be conveyed as part of a residential lot sale.</w:t>
      </w:r>
    </w:p>
    <w:p w:rsidR="00EE12E9" w:rsidRPr="00DB4CC5" w:rsidRDefault="00EE12E9" w:rsidP="00EE12E9">
      <w:pPr>
        <w:rPr>
          <w:lang w:val="en-NZ"/>
        </w:rPr>
      </w:pPr>
    </w:p>
    <w:p w:rsidR="00EE12E9" w:rsidRPr="00DB4CC5" w:rsidRDefault="00EE12E9" w:rsidP="00EE12E9">
      <w:pPr>
        <w:pStyle w:val="Heading2"/>
        <w:rPr>
          <w:lang w:val="en-NZ"/>
        </w:rPr>
      </w:pPr>
      <w:r w:rsidRPr="00DB4CC5">
        <w:rPr>
          <w:lang w:val="en-NZ"/>
        </w:rPr>
        <w:t>Comment</w:t>
      </w:r>
    </w:p>
    <w:p w:rsidR="00EE12E9" w:rsidRDefault="00EE12E9" w:rsidP="00EE12E9">
      <w:pPr>
        <w:rPr>
          <w:lang w:val="en-NZ"/>
        </w:rPr>
      </w:pPr>
    </w:p>
    <w:p w:rsidR="00EE12E9" w:rsidRDefault="007E2548" w:rsidP="00EE12E9">
      <w:pPr>
        <w:rPr>
          <w:lang w:val="en-NZ"/>
        </w:rPr>
      </w:pPr>
      <w:r>
        <w:rPr>
          <w:lang w:val="en-NZ"/>
        </w:rPr>
        <w:t>In most situations</w:t>
      </w:r>
      <w:r w:rsidR="003B01BC">
        <w:rPr>
          <w:lang w:val="en-NZ"/>
        </w:rPr>
        <w:t>,</w:t>
      </w:r>
      <w:r>
        <w:rPr>
          <w:lang w:val="en-NZ"/>
        </w:rPr>
        <w:t xml:space="preserve"> communal areas will</w:t>
      </w:r>
      <w:r w:rsidR="0032048C">
        <w:rPr>
          <w:lang w:val="en-NZ"/>
        </w:rPr>
        <w:t xml:space="preserve"> be part of the title of the land that is being transferred</w:t>
      </w:r>
      <w:r w:rsidR="00F16E3E">
        <w:rPr>
          <w:lang w:val="en-NZ"/>
        </w:rPr>
        <w:t>.  I</w:t>
      </w:r>
      <w:r w:rsidR="0032048C">
        <w:rPr>
          <w:lang w:val="en-NZ"/>
        </w:rPr>
        <w:t>n a circumstance whe</w:t>
      </w:r>
      <w:r w:rsidR="00742779">
        <w:rPr>
          <w:lang w:val="en-NZ"/>
        </w:rPr>
        <w:t>n</w:t>
      </w:r>
      <w:r w:rsidR="0032048C">
        <w:rPr>
          <w:lang w:val="en-NZ"/>
        </w:rPr>
        <w:t xml:space="preserve"> it is not part of the title being transferred, the communal land will likely</w:t>
      </w:r>
      <w:r>
        <w:rPr>
          <w:lang w:val="en-NZ"/>
        </w:rPr>
        <w:t xml:space="preserve"> not be residential land and therefore will not be covered by the proposed bright-line test</w:t>
      </w:r>
      <w:r w:rsidR="00F16E3E">
        <w:rPr>
          <w:lang w:val="en-NZ"/>
        </w:rPr>
        <w:t>.  I</w:t>
      </w:r>
      <w:r w:rsidR="0048281F">
        <w:rPr>
          <w:lang w:val="en-NZ"/>
        </w:rPr>
        <w:t xml:space="preserve">n addition, </w:t>
      </w:r>
      <w:r w:rsidR="00502A7D">
        <w:rPr>
          <w:lang w:val="en-NZ"/>
        </w:rPr>
        <w:t>the communal land would have zero value (and therefore no gains to be made) as the land is worth nothing separate from the residential lot.</w:t>
      </w:r>
    </w:p>
    <w:p w:rsidR="0032048C" w:rsidRDefault="0032048C" w:rsidP="00EE12E9">
      <w:pPr>
        <w:rPr>
          <w:lang w:val="en-NZ"/>
        </w:rPr>
      </w:pPr>
    </w:p>
    <w:p w:rsidR="0032048C" w:rsidRDefault="0032048C" w:rsidP="00EE12E9">
      <w:pPr>
        <w:rPr>
          <w:lang w:val="en-NZ"/>
        </w:rPr>
      </w:pPr>
      <w:r>
        <w:rPr>
          <w:lang w:val="en-NZ"/>
        </w:rPr>
        <w:t>As a result we consider that the proposed amendment would add additional complexity to the legislation</w:t>
      </w:r>
      <w:r w:rsidR="00C57405">
        <w:rPr>
          <w:lang w:val="en-NZ"/>
        </w:rPr>
        <w:t xml:space="preserve"> for </w:t>
      </w:r>
      <w:r w:rsidR="00B76351">
        <w:rPr>
          <w:lang w:val="en-NZ"/>
        </w:rPr>
        <w:t xml:space="preserve">no </w:t>
      </w:r>
      <w:r w:rsidR="00C57405">
        <w:rPr>
          <w:lang w:val="en-NZ"/>
        </w:rPr>
        <w:t>gain.</w:t>
      </w:r>
    </w:p>
    <w:p w:rsidR="0048281F" w:rsidRDefault="0048281F" w:rsidP="00EE12E9">
      <w:pPr>
        <w:rPr>
          <w:lang w:val="en-NZ"/>
        </w:rPr>
      </w:pPr>
    </w:p>
    <w:p w:rsidR="00B76351" w:rsidRDefault="00B82613" w:rsidP="00EE12E9">
      <w:pPr>
        <w:rPr>
          <w:lang w:val="en-NZ"/>
        </w:rPr>
      </w:pPr>
      <w:r>
        <w:rPr>
          <w:lang w:val="en-NZ"/>
        </w:rPr>
        <w:t>Part of the generic tax policy process involves a post-implementation review</w:t>
      </w:r>
      <w:r w:rsidR="00F16E3E">
        <w:rPr>
          <w:lang w:val="en-NZ"/>
        </w:rPr>
        <w:t>.  W</w:t>
      </w:r>
      <w:r>
        <w:rPr>
          <w:lang w:val="en-NZ"/>
        </w:rPr>
        <w:t>e will monitor this area to ensure the bright-line test is working as intended.</w:t>
      </w:r>
    </w:p>
    <w:p w:rsidR="00EE12E9" w:rsidRPr="00DB4CC5" w:rsidRDefault="00EE12E9" w:rsidP="00EE12E9">
      <w:pPr>
        <w:rPr>
          <w:lang w:val="en-NZ"/>
        </w:rPr>
      </w:pPr>
    </w:p>
    <w:p w:rsidR="00EE12E9" w:rsidRPr="00DB4CC5" w:rsidRDefault="00EE12E9" w:rsidP="00EE12E9">
      <w:pPr>
        <w:pStyle w:val="Heading2"/>
        <w:rPr>
          <w:lang w:val="en-NZ"/>
        </w:rPr>
      </w:pPr>
      <w:r w:rsidRPr="00DB4CC5">
        <w:rPr>
          <w:lang w:val="en-NZ"/>
        </w:rPr>
        <w:t>Recommendation</w:t>
      </w:r>
    </w:p>
    <w:p w:rsidR="00EE12E9" w:rsidRPr="00DB4CC5" w:rsidRDefault="00EE12E9" w:rsidP="00EE12E9">
      <w:pPr>
        <w:rPr>
          <w:lang w:val="en-NZ"/>
        </w:rPr>
      </w:pPr>
    </w:p>
    <w:p w:rsidR="00D95FF8" w:rsidRDefault="00EE12E9" w:rsidP="00EE12E9">
      <w:pPr>
        <w:rPr>
          <w:lang w:val="en-NZ"/>
        </w:rPr>
      </w:pPr>
      <w:r w:rsidRPr="00DB4CC5">
        <w:rPr>
          <w:lang w:val="en-NZ"/>
        </w:rPr>
        <w:t xml:space="preserve">That the submission be </w:t>
      </w:r>
      <w:r w:rsidR="0032048C">
        <w:rPr>
          <w:lang w:val="en-NZ"/>
        </w:rPr>
        <w:t>declined.</w:t>
      </w:r>
    </w:p>
    <w:p w:rsidR="00EE12E9" w:rsidRPr="00DB4CC5" w:rsidRDefault="00EE12E9" w:rsidP="00EE12E9">
      <w:pPr>
        <w:pBdr>
          <w:bottom w:val="single" w:sz="4" w:space="1" w:color="auto"/>
        </w:pBdr>
        <w:rPr>
          <w:lang w:val="en-NZ"/>
        </w:rPr>
      </w:pPr>
    </w:p>
    <w:p w:rsidR="00EE12E9" w:rsidRDefault="00EE12E9">
      <w:pPr>
        <w:jc w:val="left"/>
        <w:rPr>
          <w:lang w:val="en-NZ"/>
        </w:rPr>
      </w:pPr>
    </w:p>
    <w:p w:rsidR="007E7996" w:rsidRDefault="007E7996">
      <w:pPr>
        <w:jc w:val="left"/>
        <w:rPr>
          <w:lang w:val="en-NZ"/>
        </w:rPr>
      </w:pPr>
    </w:p>
    <w:p w:rsidR="00397D7B" w:rsidRPr="00DB4CC5" w:rsidRDefault="00397D7B" w:rsidP="00397D7B">
      <w:pPr>
        <w:pStyle w:val="Heading5"/>
        <w:ind w:left="794" w:hanging="794"/>
        <w:rPr>
          <w:lang w:val="en-NZ"/>
        </w:rPr>
      </w:pPr>
      <w:bookmarkStart w:id="54" w:name="_Toc432411942"/>
      <w:r w:rsidRPr="00DB4CC5">
        <w:rPr>
          <w:lang w:val="en-NZ"/>
        </w:rPr>
        <w:t>Issue:</w:t>
      </w:r>
      <w:r w:rsidRPr="00DB4CC5">
        <w:rPr>
          <w:lang w:val="en-NZ"/>
        </w:rPr>
        <w:tab/>
      </w:r>
      <w:r>
        <w:rPr>
          <w:lang w:val="en-NZ"/>
        </w:rPr>
        <w:t>Us</w:t>
      </w:r>
      <w:r w:rsidR="003D2A32">
        <w:rPr>
          <w:lang w:val="en-NZ"/>
        </w:rPr>
        <w:t>e</w:t>
      </w:r>
      <w:r>
        <w:rPr>
          <w:lang w:val="en-NZ"/>
        </w:rPr>
        <w:t xml:space="preserve"> of home by family members</w:t>
      </w:r>
      <w:bookmarkEnd w:id="54"/>
    </w:p>
    <w:p w:rsidR="00397D7B" w:rsidRPr="00DB4CC5" w:rsidRDefault="00397D7B" w:rsidP="00397D7B">
      <w:pPr>
        <w:rPr>
          <w:lang w:val="en-NZ"/>
        </w:rPr>
      </w:pPr>
    </w:p>
    <w:p w:rsidR="00397D7B" w:rsidRPr="00DB4CC5" w:rsidRDefault="00397D7B" w:rsidP="00397D7B">
      <w:pPr>
        <w:rPr>
          <w:lang w:val="en-NZ"/>
        </w:rPr>
      </w:pPr>
    </w:p>
    <w:p w:rsidR="00397D7B" w:rsidRPr="00DB4CC5" w:rsidRDefault="00397D7B" w:rsidP="00397D7B">
      <w:pPr>
        <w:pStyle w:val="Heading2"/>
        <w:rPr>
          <w:lang w:val="en-NZ"/>
        </w:rPr>
      </w:pPr>
      <w:r w:rsidRPr="00DB4CC5">
        <w:rPr>
          <w:lang w:val="en-NZ"/>
        </w:rPr>
        <w:t>Submission</w:t>
      </w:r>
    </w:p>
    <w:p w:rsidR="00397D7B" w:rsidRPr="00DB4CC5" w:rsidRDefault="00397D7B" w:rsidP="00397D7B">
      <w:pPr>
        <w:pStyle w:val="Heading4"/>
        <w:rPr>
          <w:lang w:val="en-NZ"/>
        </w:rPr>
      </w:pPr>
      <w:r>
        <w:rPr>
          <w:lang w:val="en-NZ"/>
        </w:rPr>
        <w:t>(EY)</w:t>
      </w:r>
    </w:p>
    <w:p w:rsidR="00397D7B" w:rsidRPr="00DB4CC5" w:rsidRDefault="00397D7B" w:rsidP="00397D7B">
      <w:pPr>
        <w:tabs>
          <w:tab w:val="left" w:pos="5295"/>
        </w:tabs>
        <w:rPr>
          <w:lang w:val="en-NZ"/>
        </w:rPr>
      </w:pPr>
    </w:p>
    <w:p w:rsidR="00397D7B" w:rsidRDefault="00397D7B" w:rsidP="00397D7B">
      <w:pPr>
        <w:rPr>
          <w:lang w:val="en-NZ"/>
        </w:rPr>
      </w:pPr>
      <w:r>
        <w:rPr>
          <w:lang w:val="en-NZ"/>
        </w:rPr>
        <w:t>The main home exclusion should apply where an owner’s family members live there but the legal owners do not.</w:t>
      </w:r>
    </w:p>
    <w:p w:rsidR="00E70778" w:rsidRDefault="00E70778" w:rsidP="00397D7B">
      <w:pPr>
        <w:rPr>
          <w:lang w:val="en-NZ"/>
        </w:rPr>
      </w:pPr>
    </w:p>
    <w:p w:rsidR="00E70778" w:rsidRPr="00DB4CC5" w:rsidRDefault="00E70778" w:rsidP="00397D7B">
      <w:pPr>
        <w:rPr>
          <w:lang w:val="en-NZ"/>
        </w:rPr>
      </w:pPr>
      <w:r>
        <w:rPr>
          <w:lang w:val="en-NZ"/>
        </w:rPr>
        <w:t>Whe</w:t>
      </w:r>
      <w:r w:rsidR="005D15DA">
        <w:rPr>
          <w:lang w:val="en-NZ"/>
        </w:rPr>
        <w:t>n</w:t>
      </w:r>
      <w:r>
        <w:rPr>
          <w:lang w:val="en-NZ"/>
        </w:rPr>
        <w:t xml:space="preserve"> a property is being used as a home for members of an owner’s family, even if the owner is residing elsewhere there is no reasonable policy basis for not allowing the main home exception to apply.</w:t>
      </w:r>
    </w:p>
    <w:p w:rsidR="00397D7B" w:rsidRPr="00DB4CC5" w:rsidRDefault="00397D7B" w:rsidP="00397D7B">
      <w:pPr>
        <w:rPr>
          <w:lang w:val="en-NZ"/>
        </w:rPr>
      </w:pPr>
    </w:p>
    <w:p w:rsidR="00397D7B" w:rsidRPr="00DB4CC5" w:rsidRDefault="00397D7B" w:rsidP="00397D7B">
      <w:pPr>
        <w:pStyle w:val="Heading2"/>
        <w:rPr>
          <w:lang w:val="en-NZ"/>
        </w:rPr>
      </w:pPr>
      <w:r w:rsidRPr="00DB4CC5">
        <w:rPr>
          <w:lang w:val="en-NZ"/>
        </w:rPr>
        <w:t>Comment</w:t>
      </w:r>
    </w:p>
    <w:p w:rsidR="00397D7B" w:rsidRPr="00DB4CC5" w:rsidRDefault="00397D7B" w:rsidP="00397D7B">
      <w:pPr>
        <w:rPr>
          <w:lang w:val="en-NZ"/>
        </w:rPr>
      </w:pPr>
    </w:p>
    <w:p w:rsidR="00397D7B" w:rsidRPr="00DB4CC5" w:rsidRDefault="003D2A32" w:rsidP="00397D7B">
      <w:pPr>
        <w:rPr>
          <w:lang w:val="en-NZ"/>
        </w:rPr>
      </w:pPr>
      <w:r>
        <w:rPr>
          <w:lang w:val="en-NZ"/>
        </w:rPr>
        <w:t>It is intended that the main home exception is only available where the owner resides in the property (or the beneficiary of the trust resides in the property)</w:t>
      </w:r>
      <w:r w:rsidR="00F16E3E">
        <w:rPr>
          <w:lang w:val="en-NZ"/>
        </w:rPr>
        <w:t>.  T</w:t>
      </w:r>
      <w:r>
        <w:rPr>
          <w:lang w:val="en-NZ"/>
        </w:rPr>
        <w:t>his is consistent with the residential exclusion in the existing land sale rules.</w:t>
      </w:r>
    </w:p>
    <w:p w:rsidR="00397D7B" w:rsidRPr="00DB4CC5" w:rsidRDefault="00397D7B" w:rsidP="00397D7B">
      <w:pPr>
        <w:rPr>
          <w:lang w:val="en-NZ"/>
        </w:rPr>
      </w:pPr>
    </w:p>
    <w:p w:rsidR="00397D7B" w:rsidRPr="00DB4CC5" w:rsidRDefault="00397D7B" w:rsidP="00397D7B">
      <w:pPr>
        <w:pStyle w:val="Heading2"/>
        <w:rPr>
          <w:lang w:val="en-NZ"/>
        </w:rPr>
      </w:pPr>
      <w:r w:rsidRPr="00DB4CC5">
        <w:rPr>
          <w:lang w:val="en-NZ"/>
        </w:rPr>
        <w:t>Recommendation</w:t>
      </w:r>
    </w:p>
    <w:p w:rsidR="00397D7B" w:rsidRPr="00DB4CC5" w:rsidRDefault="00397D7B" w:rsidP="00397D7B">
      <w:pPr>
        <w:rPr>
          <w:lang w:val="en-NZ"/>
        </w:rPr>
      </w:pPr>
    </w:p>
    <w:p w:rsidR="00397D7B" w:rsidRPr="00DB4CC5" w:rsidRDefault="00397D7B" w:rsidP="00397D7B">
      <w:pPr>
        <w:rPr>
          <w:lang w:val="en-NZ"/>
        </w:rPr>
      </w:pPr>
      <w:r w:rsidRPr="00DB4CC5">
        <w:rPr>
          <w:lang w:val="en-NZ"/>
        </w:rPr>
        <w:t xml:space="preserve">That the submission be </w:t>
      </w:r>
      <w:r w:rsidR="00396767">
        <w:rPr>
          <w:lang w:val="en-NZ"/>
        </w:rPr>
        <w:t>declined.</w:t>
      </w:r>
    </w:p>
    <w:p w:rsidR="00397D7B" w:rsidRPr="00DB4CC5" w:rsidRDefault="00397D7B" w:rsidP="00397D7B">
      <w:pPr>
        <w:pBdr>
          <w:bottom w:val="single" w:sz="4" w:space="1" w:color="auto"/>
        </w:pBdr>
        <w:rPr>
          <w:lang w:val="en-NZ"/>
        </w:rPr>
      </w:pPr>
    </w:p>
    <w:p w:rsidR="00397D7B" w:rsidRDefault="00397D7B" w:rsidP="00397D7B">
      <w:pPr>
        <w:jc w:val="left"/>
        <w:rPr>
          <w:lang w:val="en-NZ"/>
        </w:rPr>
      </w:pPr>
    </w:p>
    <w:p w:rsidR="00892E85" w:rsidRDefault="00892E85">
      <w:pPr>
        <w:jc w:val="left"/>
        <w:rPr>
          <w:b/>
          <w:sz w:val="26"/>
          <w:lang w:val="en-NZ"/>
        </w:rPr>
      </w:pPr>
      <w:r>
        <w:rPr>
          <w:lang w:val="en-NZ"/>
        </w:rPr>
        <w:br w:type="page"/>
      </w:r>
    </w:p>
    <w:p w:rsidR="00397D7B" w:rsidRPr="00DB4CC5" w:rsidRDefault="00397D7B" w:rsidP="00397D7B">
      <w:pPr>
        <w:pStyle w:val="Heading5"/>
        <w:ind w:left="794" w:hanging="794"/>
        <w:rPr>
          <w:lang w:val="en-NZ"/>
        </w:rPr>
      </w:pPr>
      <w:bookmarkStart w:id="55" w:name="_Toc432411943"/>
      <w:r w:rsidRPr="00DB4CC5">
        <w:rPr>
          <w:lang w:val="en-NZ"/>
        </w:rPr>
        <w:t>Issue:</w:t>
      </w:r>
      <w:r w:rsidRPr="00DB4CC5">
        <w:rPr>
          <w:lang w:val="en-NZ"/>
        </w:rPr>
        <w:tab/>
      </w:r>
      <w:r w:rsidR="00C57405">
        <w:rPr>
          <w:lang w:val="en-NZ"/>
        </w:rPr>
        <w:t>Look-</w:t>
      </w:r>
      <w:r>
        <w:rPr>
          <w:lang w:val="en-NZ"/>
        </w:rPr>
        <w:t>through companies</w:t>
      </w:r>
      <w:bookmarkEnd w:id="55"/>
    </w:p>
    <w:p w:rsidR="00397D7B" w:rsidRPr="00DB4CC5" w:rsidRDefault="00397D7B" w:rsidP="00397D7B">
      <w:pPr>
        <w:rPr>
          <w:lang w:val="en-NZ"/>
        </w:rPr>
      </w:pPr>
    </w:p>
    <w:p w:rsidR="00397D7B" w:rsidRPr="00DB4CC5" w:rsidRDefault="00397D7B" w:rsidP="00397D7B">
      <w:pPr>
        <w:rPr>
          <w:lang w:val="en-NZ"/>
        </w:rPr>
      </w:pPr>
    </w:p>
    <w:p w:rsidR="00397D7B" w:rsidRPr="00DB4CC5" w:rsidRDefault="00397D7B" w:rsidP="00397D7B">
      <w:pPr>
        <w:pStyle w:val="Heading2"/>
        <w:rPr>
          <w:lang w:val="en-NZ"/>
        </w:rPr>
      </w:pPr>
      <w:r w:rsidRPr="00DB4CC5">
        <w:rPr>
          <w:lang w:val="en-NZ"/>
        </w:rPr>
        <w:t>Submission</w:t>
      </w:r>
    </w:p>
    <w:p w:rsidR="00397D7B" w:rsidRPr="00DB4CC5" w:rsidRDefault="00397D7B" w:rsidP="00397D7B">
      <w:pPr>
        <w:pStyle w:val="Heading4"/>
        <w:rPr>
          <w:lang w:val="en-NZ"/>
        </w:rPr>
      </w:pPr>
      <w:r>
        <w:rPr>
          <w:lang w:val="en-NZ"/>
        </w:rPr>
        <w:t>(EY)</w:t>
      </w:r>
    </w:p>
    <w:p w:rsidR="00397D7B" w:rsidRPr="00DB4CC5" w:rsidRDefault="00397D7B" w:rsidP="00397D7B">
      <w:pPr>
        <w:tabs>
          <w:tab w:val="left" w:pos="5295"/>
        </w:tabs>
        <w:rPr>
          <w:lang w:val="en-NZ"/>
        </w:rPr>
      </w:pPr>
    </w:p>
    <w:p w:rsidR="00397D7B" w:rsidRPr="00DB4CC5" w:rsidRDefault="00397D7B" w:rsidP="00397D7B">
      <w:pPr>
        <w:rPr>
          <w:lang w:val="en-NZ"/>
        </w:rPr>
      </w:pPr>
      <w:r>
        <w:rPr>
          <w:lang w:val="en-NZ"/>
        </w:rPr>
        <w:t>There should be clarification or confirmation that section HB 1(4</w:t>
      </w:r>
      <w:proofErr w:type="gramStart"/>
      <w:r>
        <w:rPr>
          <w:lang w:val="en-NZ"/>
        </w:rPr>
        <w:t>)(</w:t>
      </w:r>
      <w:proofErr w:type="gramEnd"/>
      <w:r>
        <w:rPr>
          <w:lang w:val="en-NZ"/>
        </w:rPr>
        <w:t>b) would apply to treat the owners of look-through companies which own residential land as the relevant owners and persons for the purpose of the main home exception.</w:t>
      </w:r>
    </w:p>
    <w:p w:rsidR="00397D7B" w:rsidRPr="00DB4CC5" w:rsidRDefault="00397D7B" w:rsidP="00397D7B">
      <w:pPr>
        <w:rPr>
          <w:lang w:val="en-NZ"/>
        </w:rPr>
      </w:pPr>
    </w:p>
    <w:p w:rsidR="00397D7B" w:rsidRPr="00DB4CC5" w:rsidRDefault="00397D7B" w:rsidP="00397D7B">
      <w:pPr>
        <w:pStyle w:val="Heading2"/>
        <w:rPr>
          <w:lang w:val="en-NZ"/>
        </w:rPr>
      </w:pPr>
      <w:r w:rsidRPr="00DB4CC5">
        <w:rPr>
          <w:lang w:val="en-NZ"/>
        </w:rPr>
        <w:t>Comment</w:t>
      </w:r>
    </w:p>
    <w:p w:rsidR="00397D7B" w:rsidRPr="00DB4CC5" w:rsidRDefault="00397D7B" w:rsidP="00397D7B">
      <w:pPr>
        <w:rPr>
          <w:lang w:val="en-NZ"/>
        </w:rPr>
      </w:pPr>
    </w:p>
    <w:p w:rsidR="00397D7B" w:rsidRPr="00DB4CC5" w:rsidRDefault="003D2A32" w:rsidP="00397D7B">
      <w:pPr>
        <w:rPr>
          <w:lang w:val="en-NZ"/>
        </w:rPr>
      </w:pPr>
      <w:r>
        <w:rPr>
          <w:lang w:val="en-NZ"/>
        </w:rPr>
        <w:t>Section HB 1(4</w:t>
      </w:r>
      <w:proofErr w:type="gramStart"/>
      <w:r>
        <w:rPr>
          <w:lang w:val="en-NZ"/>
        </w:rPr>
        <w:t>)(</w:t>
      </w:r>
      <w:proofErr w:type="gramEnd"/>
      <w:r>
        <w:rPr>
          <w:lang w:val="en-NZ"/>
        </w:rPr>
        <w:t xml:space="preserve">b) would have the effect of treating the owner of a </w:t>
      </w:r>
      <w:r w:rsidR="00D340BC">
        <w:rPr>
          <w:lang w:val="en-NZ"/>
        </w:rPr>
        <w:t>look-through company</w:t>
      </w:r>
      <w:r>
        <w:rPr>
          <w:lang w:val="en-NZ"/>
        </w:rPr>
        <w:t xml:space="preserve"> as the owner of residential</w:t>
      </w:r>
      <w:r w:rsidR="00B76351">
        <w:rPr>
          <w:lang w:val="en-NZ"/>
        </w:rPr>
        <w:t xml:space="preserve"> land</w:t>
      </w:r>
      <w:r>
        <w:rPr>
          <w:lang w:val="en-NZ"/>
        </w:rPr>
        <w:t xml:space="preserve"> </w:t>
      </w:r>
      <w:r w:rsidR="00560544">
        <w:rPr>
          <w:lang w:val="en-NZ"/>
        </w:rPr>
        <w:t xml:space="preserve">purchased by </w:t>
      </w:r>
      <w:r>
        <w:rPr>
          <w:lang w:val="en-NZ"/>
        </w:rPr>
        <w:t xml:space="preserve">the </w:t>
      </w:r>
      <w:r w:rsidR="00D340BC">
        <w:rPr>
          <w:lang w:val="en-NZ"/>
        </w:rPr>
        <w:t>look-through company</w:t>
      </w:r>
      <w:r>
        <w:rPr>
          <w:lang w:val="en-NZ"/>
        </w:rPr>
        <w:t xml:space="preserve"> for the purposes of the main home exception</w:t>
      </w:r>
      <w:r w:rsidR="00F16E3E">
        <w:rPr>
          <w:lang w:val="en-NZ"/>
        </w:rPr>
        <w:t>.  W</w:t>
      </w:r>
      <w:r>
        <w:rPr>
          <w:lang w:val="en-NZ"/>
        </w:rPr>
        <w:t xml:space="preserve">e will </w:t>
      </w:r>
      <w:r w:rsidR="00560544">
        <w:rPr>
          <w:lang w:val="en-NZ"/>
        </w:rPr>
        <w:t xml:space="preserve">note </w:t>
      </w:r>
      <w:r>
        <w:rPr>
          <w:lang w:val="en-NZ"/>
        </w:rPr>
        <w:t xml:space="preserve">this in the </w:t>
      </w:r>
      <w:r w:rsidRPr="009B557D">
        <w:rPr>
          <w:i/>
          <w:lang w:val="en-NZ"/>
        </w:rPr>
        <w:t>Tax Information</w:t>
      </w:r>
      <w:r>
        <w:rPr>
          <w:lang w:val="en-NZ"/>
        </w:rPr>
        <w:t xml:space="preserve"> </w:t>
      </w:r>
      <w:r w:rsidRPr="00D13EB5">
        <w:rPr>
          <w:i/>
          <w:lang w:val="en-NZ"/>
        </w:rPr>
        <w:t>Bulletin</w:t>
      </w:r>
      <w:r>
        <w:rPr>
          <w:lang w:val="en-NZ"/>
        </w:rPr>
        <w:t>.</w:t>
      </w:r>
    </w:p>
    <w:p w:rsidR="00397D7B" w:rsidRPr="00DB4CC5" w:rsidRDefault="00397D7B" w:rsidP="00397D7B">
      <w:pPr>
        <w:rPr>
          <w:lang w:val="en-NZ"/>
        </w:rPr>
      </w:pPr>
    </w:p>
    <w:p w:rsidR="00397D7B" w:rsidRPr="00DB4CC5" w:rsidRDefault="00397D7B" w:rsidP="00397D7B">
      <w:pPr>
        <w:pStyle w:val="Heading2"/>
        <w:rPr>
          <w:lang w:val="en-NZ"/>
        </w:rPr>
      </w:pPr>
      <w:r w:rsidRPr="00DB4CC5">
        <w:rPr>
          <w:lang w:val="en-NZ"/>
        </w:rPr>
        <w:t>Recommendation</w:t>
      </w:r>
    </w:p>
    <w:p w:rsidR="00397D7B" w:rsidRPr="00DB4CC5" w:rsidRDefault="00397D7B" w:rsidP="00397D7B">
      <w:pPr>
        <w:rPr>
          <w:lang w:val="en-NZ"/>
        </w:rPr>
      </w:pPr>
    </w:p>
    <w:p w:rsidR="00397D7B" w:rsidRPr="00DB4CC5" w:rsidRDefault="00397D7B" w:rsidP="00397D7B">
      <w:pPr>
        <w:rPr>
          <w:lang w:val="en-NZ"/>
        </w:rPr>
      </w:pPr>
      <w:r w:rsidRPr="00DB4CC5">
        <w:rPr>
          <w:lang w:val="en-NZ"/>
        </w:rPr>
        <w:t xml:space="preserve">That the submission be </w:t>
      </w:r>
      <w:r w:rsidR="008415D4">
        <w:rPr>
          <w:lang w:val="en-NZ"/>
        </w:rPr>
        <w:t>noted.</w:t>
      </w:r>
    </w:p>
    <w:p w:rsidR="00397D7B" w:rsidRPr="00DB4CC5" w:rsidRDefault="00397D7B" w:rsidP="00397D7B">
      <w:pPr>
        <w:pBdr>
          <w:bottom w:val="single" w:sz="4" w:space="1" w:color="auto"/>
        </w:pBdr>
        <w:rPr>
          <w:lang w:val="en-NZ"/>
        </w:rPr>
      </w:pPr>
    </w:p>
    <w:p w:rsidR="00E70778" w:rsidRDefault="00E70778" w:rsidP="007E7996"/>
    <w:p w:rsidR="007E7996" w:rsidRPr="007E7996" w:rsidRDefault="007E7996" w:rsidP="007E7996"/>
    <w:p w:rsidR="00E70778" w:rsidRPr="00DB4CC5" w:rsidRDefault="00E70778" w:rsidP="00E70778">
      <w:pPr>
        <w:pStyle w:val="Heading5"/>
        <w:ind w:left="794" w:hanging="794"/>
        <w:rPr>
          <w:lang w:val="en-NZ"/>
        </w:rPr>
      </w:pPr>
      <w:bookmarkStart w:id="56" w:name="_Toc432411944"/>
      <w:r w:rsidRPr="00DB4CC5">
        <w:rPr>
          <w:lang w:val="en-NZ"/>
        </w:rPr>
        <w:t>Issue:</w:t>
      </w:r>
      <w:r w:rsidRPr="00DB4CC5">
        <w:rPr>
          <w:lang w:val="en-NZ"/>
        </w:rPr>
        <w:tab/>
      </w:r>
      <w:r w:rsidR="008415D4">
        <w:rPr>
          <w:lang w:val="en-NZ"/>
        </w:rPr>
        <w:t>Broader main home exception</w:t>
      </w:r>
      <w:bookmarkEnd w:id="56"/>
    </w:p>
    <w:p w:rsidR="00E70778" w:rsidRPr="00DB4CC5" w:rsidRDefault="00E70778" w:rsidP="00E70778">
      <w:pPr>
        <w:rPr>
          <w:lang w:val="en-NZ"/>
        </w:rPr>
      </w:pPr>
    </w:p>
    <w:p w:rsidR="00E70778" w:rsidRPr="00DB4CC5" w:rsidRDefault="00E70778" w:rsidP="00E70778">
      <w:pPr>
        <w:rPr>
          <w:lang w:val="en-NZ"/>
        </w:rPr>
      </w:pPr>
    </w:p>
    <w:p w:rsidR="00E70778" w:rsidRPr="00DB4CC5" w:rsidRDefault="00E70778" w:rsidP="00E70778">
      <w:pPr>
        <w:pStyle w:val="Heading2"/>
        <w:rPr>
          <w:lang w:val="en-NZ"/>
        </w:rPr>
      </w:pPr>
      <w:r w:rsidRPr="00DB4CC5">
        <w:rPr>
          <w:lang w:val="en-NZ"/>
        </w:rPr>
        <w:t>Submission</w:t>
      </w:r>
    </w:p>
    <w:p w:rsidR="00E70778" w:rsidRPr="00DB4CC5" w:rsidRDefault="008415D4" w:rsidP="00E70778">
      <w:pPr>
        <w:pStyle w:val="Heading4"/>
        <w:rPr>
          <w:lang w:val="en-NZ"/>
        </w:rPr>
      </w:pPr>
      <w:r>
        <w:rPr>
          <w:lang w:val="en-NZ"/>
        </w:rPr>
        <w:t>(EY)</w:t>
      </w:r>
    </w:p>
    <w:p w:rsidR="00E70778" w:rsidRPr="00DB4CC5" w:rsidRDefault="00E70778" w:rsidP="00E70778">
      <w:pPr>
        <w:tabs>
          <w:tab w:val="left" w:pos="5295"/>
        </w:tabs>
        <w:rPr>
          <w:lang w:val="en-NZ"/>
        </w:rPr>
      </w:pPr>
    </w:p>
    <w:p w:rsidR="00E70778" w:rsidRPr="00DB4CC5" w:rsidRDefault="008415D4" w:rsidP="00E70778">
      <w:pPr>
        <w:rPr>
          <w:lang w:val="en-NZ"/>
        </w:rPr>
      </w:pPr>
      <w:r>
        <w:rPr>
          <w:lang w:val="en-NZ"/>
        </w:rPr>
        <w:t xml:space="preserve">A broader main home exception should be available to cover </w:t>
      </w:r>
      <w:r w:rsidR="00852FD1">
        <w:rPr>
          <w:lang w:val="en-NZ"/>
        </w:rPr>
        <w:t>“</w:t>
      </w:r>
      <w:r>
        <w:rPr>
          <w:lang w:val="en-NZ"/>
        </w:rPr>
        <w:t>sales off the plan</w:t>
      </w:r>
      <w:r w:rsidR="00852FD1">
        <w:rPr>
          <w:lang w:val="en-NZ"/>
        </w:rPr>
        <w:t>”</w:t>
      </w:r>
      <w:r>
        <w:rPr>
          <w:lang w:val="en-NZ"/>
        </w:rPr>
        <w:t xml:space="preserve"> whe</w:t>
      </w:r>
      <w:r w:rsidR="00852FD1">
        <w:rPr>
          <w:lang w:val="en-NZ"/>
        </w:rPr>
        <w:t>n</w:t>
      </w:r>
      <w:r>
        <w:rPr>
          <w:lang w:val="en-NZ"/>
        </w:rPr>
        <w:t xml:space="preserve"> people intend to use the property as their main home</w:t>
      </w:r>
      <w:r w:rsidR="00F16E3E">
        <w:rPr>
          <w:lang w:val="en-NZ"/>
        </w:rPr>
        <w:t>.  T</w:t>
      </w:r>
      <w:r>
        <w:rPr>
          <w:lang w:val="en-NZ"/>
        </w:rPr>
        <w:t>his approach would be consistent with the desired outcome intended by the changes to the date of acquisition made in 2014.</w:t>
      </w:r>
    </w:p>
    <w:p w:rsidR="00E70778" w:rsidRPr="00DB4CC5" w:rsidRDefault="00E70778" w:rsidP="00E70778">
      <w:pPr>
        <w:rPr>
          <w:lang w:val="en-NZ"/>
        </w:rPr>
      </w:pPr>
    </w:p>
    <w:p w:rsidR="00E70778" w:rsidRPr="00DB4CC5" w:rsidRDefault="00E70778" w:rsidP="00E70778">
      <w:pPr>
        <w:pStyle w:val="Heading2"/>
        <w:rPr>
          <w:lang w:val="en-NZ"/>
        </w:rPr>
      </w:pPr>
      <w:r w:rsidRPr="00DB4CC5">
        <w:rPr>
          <w:lang w:val="en-NZ"/>
        </w:rPr>
        <w:t>Comment</w:t>
      </w:r>
    </w:p>
    <w:p w:rsidR="00595FD5" w:rsidRDefault="00595FD5" w:rsidP="00E70778">
      <w:pPr>
        <w:rPr>
          <w:lang w:val="en-NZ"/>
        </w:rPr>
      </w:pPr>
    </w:p>
    <w:p w:rsidR="00595FD5" w:rsidRPr="00DB4CC5" w:rsidRDefault="00595FD5" w:rsidP="00E70778">
      <w:pPr>
        <w:rPr>
          <w:lang w:val="en-NZ"/>
        </w:rPr>
      </w:pPr>
      <w:r>
        <w:rPr>
          <w:lang w:val="en-NZ"/>
        </w:rPr>
        <w:t xml:space="preserve">The main home exception </w:t>
      </w:r>
      <w:r w:rsidR="00C57405">
        <w:rPr>
          <w:lang w:val="en-NZ"/>
        </w:rPr>
        <w:t>is intended to be based on a person’s actual use of the property rather than their intended use of the property</w:t>
      </w:r>
      <w:r w:rsidR="00F16E3E">
        <w:rPr>
          <w:lang w:val="en-NZ"/>
        </w:rPr>
        <w:t>.  W</w:t>
      </w:r>
      <w:r w:rsidR="00C57405">
        <w:rPr>
          <w:lang w:val="en-NZ"/>
        </w:rPr>
        <w:t>e believe expanding the main home exception would make it more subjective and difficult to enforce.</w:t>
      </w:r>
    </w:p>
    <w:p w:rsidR="00E70778" w:rsidRPr="00DB4CC5" w:rsidRDefault="00E70778" w:rsidP="00E70778">
      <w:pPr>
        <w:rPr>
          <w:lang w:val="en-NZ"/>
        </w:rPr>
      </w:pPr>
    </w:p>
    <w:p w:rsidR="00E70778" w:rsidRPr="00DB4CC5" w:rsidRDefault="00E70778" w:rsidP="00E70778">
      <w:pPr>
        <w:pStyle w:val="Heading2"/>
        <w:rPr>
          <w:lang w:val="en-NZ"/>
        </w:rPr>
      </w:pPr>
      <w:r w:rsidRPr="00DB4CC5">
        <w:rPr>
          <w:lang w:val="en-NZ"/>
        </w:rPr>
        <w:t>Recommendation</w:t>
      </w:r>
    </w:p>
    <w:p w:rsidR="00E70778" w:rsidRPr="00DB4CC5" w:rsidRDefault="00E70778" w:rsidP="00E70778">
      <w:pPr>
        <w:rPr>
          <w:lang w:val="en-NZ"/>
        </w:rPr>
      </w:pPr>
    </w:p>
    <w:p w:rsidR="00E70778" w:rsidRPr="00DB4CC5" w:rsidRDefault="00E70778" w:rsidP="00E70778">
      <w:pPr>
        <w:rPr>
          <w:lang w:val="en-NZ"/>
        </w:rPr>
      </w:pPr>
      <w:r w:rsidRPr="00DB4CC5">
        <w:rPr>
          <w:lang w:val="en-NZ"/>
        </w:rPr>
        <w:t xml:space="preserve">That the submission be </w:t>
      </w:r>
      <w:r w:rsidR="008415D4">
        <w:rPr>
          <w:lang w:val="en-NZ"/>
        </w:rPr>
        <w:t>declined.</w:t>
      </w:r>
    </w:p>
    <w:p w:rsidR="00E70778" w:rsidRPr="00DB4CC5" w:rsidRDefault="00E70778" w:rsidP="00E70778">
      <w:pPr>
        <w:pBdr>
          <w:bottom w:val="single" w:sz="4" w:space="1" w:color="auto"/>
        </w:pBdr>
        <w:rPr>
          <w:lang w:val="en-NZ"/>
        </w:rPr>
      </w:pPr>
    </w:p>
    <w:p w:rsidR="00DB0B25" w:rsidRDefault="00DB0B25" w:rsidP="00DB0B25">
      <w:pPr>
        <w:rPr>
          <w:lang w:val="en-NZ"/>
        </w:rPr>
      </w:pPr>
    </w:p>
    <w:p w:rsidR="00892E85" w:rsidRDefault="00892E85">
      <w:pPr>
        <w:jc w:val="left"/>
        <w:rPr>
          <w:b/>
          <w:sz w:val="26"/>
          <w:lang w:val="en-NZ"/>
        </w:rPr>
      </w:pPr>
      <w:r>
        <w:rPr>
          <w:lang w:val="en-NZ"/>
        </w:rPr>
        <w:br w:type="page"/>
      </w:r>
    </w:p>
    <w:p w:rsidR="00DB0B25" w:rsidRPr="00DB4CC5" w:rsidRDefault="00DB0B25" w:rsidP="00DB0B25">
      <w:pPr>
        <w:pStyle w:val="Heading5"/>
        <w:ind w:left="794" w:hanging="794"/>
        <w:rPr>
          <w:lang w:val="en-NZ"/>
        </w:rPr>
      </w:pPr>
      <w:bookmarkStart w:id="57" w:name="_Toc432411945"/>
      <w:r w:rsidRPr="00DB4CC5">
        <w:rPr>
          <w:lang w:val="en-NZ"/>
        </w:rPr>
        <w:t>Issue:</w:t>
      </w:r>
      <w:r w:rsidRPr="00DB4CC5">
        <w:rPr>
          <w:lang w:val="en-NZ"/>
        </w:rPr>
        <w:tab/>
      </w:r>
      <w:r w:rsidR="001E4FA4">
        <w:rPr>
          <w:lang w:val="en-NZ"/>
        </w:rPr>
        <w:t>Use of main home exception by non-residents</w:t>
      </w:r>
      <w:bookmarkEnd w:id="57"/>
    </w:p>
    <w:p w:rsidR="00DB0B25" w:rsidRPr="00DB4CC5" w:rsidRDefault="00DB0B25" w:rsidP="00DB0B25">
      <w:pPr>
        <w:rPr>
          <w:lang w:val="en-NZ"/>
        </w:rPr>
      </w:pPr>
    </w:p>
    <w:p w:rsidR="00DB0B25" w:rsidRPr="00DB4CC5" w:rsidRDefault="00DB0B25" w:rsidP="00DB0B25">
      <w:pPr>
        <w:rPr>
          <w:lang w:val="en-NZ"/>
        </w:rPr>
      </w:pPr>
    </w:p>
    <w:p w:rsidR="00DB0B25" w:rsidRPr="00DB4CC5" w:rsidRDefault="00DB0B25" w:rsidP="00DB0B25">
      <w:pPr>
        <w:pStyle w:val="Heading2"/>
        <w:rPr>
          <w:lang w:val="en-NZ"/>
        </w:rPr>
      </w:pPr>
      <w:r w:rsidRPr="00DB4CC5">
        <w:rPr>
          <w:lang w:val="en-NZ"/>
        </w:rPr>
        <w:t>Submission</w:t>
      </w:r>
    </w:p>
    <w:p w:rsidR="00DB0B25" w:rsidRPr="00DB4CC5" w:rsidRDefault="00DB0B25" w:rsidP="00DB0B25">
      <w:pPr>
        <w:pStyle w:val="Heading4"/>
        <w:rPr>
          <w:lang w:val="en-NZ"/>
        </w:rPr>
      </w:pPr>
      <w:r w:rsidRPr="00DB4CC5">
        <w:rPr>
          <w:lang w:val="en-NZ"/>
        </w:rPr>
        <w:t>(</w:t>
      </w:r>
      <w:r w:rsidR="00456793">
        <w:rPr>
          <w:lang w:val="en-NZ"/>
        </w:rPr>
        <w:t>EY</w:t>
      </w:r>
      <w:r w:rsidR="00BF4568">
        <w:rPr>
          <w:lang w:val="en-NZ"/>
        </w:rPr>
        <w:t>, KPMG</w:t>
      </w:r>
      <w:r w:rsidR="00456793">
        <w:rPr>
          <w:lang w:val="en-NZ"/>
        </w:rPr>
        <w:t>)</w:t>
      </w:r>
    </w:p>
    <w:p w:rsidR="00DB0B25" w:rsidRPr="00DB4CC5" w:rsidRDefault="00DB0B25" w:rsidP="00DB0B25">
      <w:pPr>
        <w:tabs>
          <w:tab w:val="left" w:pos="5295"/>
        </w:tabs>
        <w:rPr>
          <w:lang w:val="en-NZ"/>
        </w:rPr>
      </w:pPr>
    </w:p>
    <w:p w:rsidR="00DB0B25" w:rsidRDefault="001E4FA4" w:rsidP="00DB0B25">
      <w:pPr>
        <w:rPr>
          <w:lang w:val="en-NZ"/>
        </w:rPr>
      </w:pPr>
      <w:r>
        <w:rPr>
          <w:lang w:val="en-NZ"/>
        </w:rPr>
        <w:t xml:space="preserve">The </w:t>
      </w:r>
      <w:r w:rsidR="00852FD1">
        <w:rPr>
          <w:lang w:val="en-NZ"/>
        </w:rPr>
        <w:t>c</w:t>
      </w:r>
      <w:r>
        <w:rPr>
          <w:lang w:val="en-NZ"/>
        </w:rPr>
        <w:t>ommentary</w:t>
      </w:r>
      <w:r w:rsidR="00852FD1">
        <w:rPr>
          <w:lang w:val="en-NZ"/>
        </w:rPr>
        <w:t xml:space="preserve"> to the bill</w:t>
      </w:r>
      <w:r>
        <w:rPr>
          <w:lang w:val="en-NZ"/>
        </w:rPr>
        <w:t xml:space="preserve"> asserted that the main home exception cannot be used “if the owner of a property does not reside in New Zealand”</w:t>
      </w:r>
      <w:r w:rsidR="00F16E3E">
        <w:rPr>
          <w:lang w:val="en-NZ"/>
        </w:rPr>
        <w:t>.  T</w:t>
      </w:r>
      <w:r>
        <w:rPr>
          <w:lang w:val="en-NZ"/>
        </w:rPr>
        <w:t>here may be situations in which a person who does not live in New Zealand all the time could use the main home exception.</w:t>
      </w:r>
    </w:p>
    <w:p w:rsidR="001E4FA4" w:rsidRDefault="001E4FA4" w:rsidP="00DB0B25">
      <w:pPr>
        <w:rPr>
          <w:lang w:val="en-NZ"/>
        </w:rPr>
      </w:pPr>
    </w:p>
    <w:p w:rsidR="001E4FA4" w:rsidRPr="00DB4CC5" w:rsidRDefault="001E4FA4" w:rsidP="00DB0B25">
      <w:pPr>
        <w:rPr>
          <w:lang w:val="en-NZ"/>
        </w:rPr>
      </w:pPr>
      <w:r>
        <w:rPr>
          <w:lang w:val="en-NZ"/>
        </w:rPr>
        <w:t>If it</w:t>
      </w:r>
      <w:r w:rsidR="00852FD1">
        <w:rPr>
          <w:lang w:val="en-NZ"/>
        </w:rPr>
        <w:t xml:space="preserve"> i</w:t>
      </w:r>
      <w:r>
        <w:rPr>
          <w:lang w:val="en-NZ"/>
        </w:rPr>
        <w:t>s intended that non-residents are unable to use the main home exception, express, detailed amendments to that effect are needed.</w:t>
      </w:r>
    </w:p>
    <w:p w:rsidR="00DB0B25" w:rsidRPr="00DB4CC5" w:rsidRDefault="00DB0B25" w:rsidP="00DB0B25">
      <w:pPr>
        <w:rPr>
          <w:lang w:val="en-NZ"/>
        </w:rPr>
      </w:pPr>
    </w:p>
    <w:p w:rsidR="00DB0B25" w:rsidRPr="00DB4CC5" w:rsidRDefault="00DB0B25" w:rsidP="00DB0B25">
      <w:pPr>
        <w:pStyle w:val="Heading2"/>
        <w:rPr>
          <w:lang w:val="en-NZ"/>
        </w:rPr>
      </w:pPr>
      <w:r w:rsidRPr="00DB4CC5">
        <w:rPr>
          <w:lang w:val="en-NZ"/>
        </w:rPr>
        <w:t>Comment</w:t>
      </w:r>
    </w:p>
    <w:p w:rsidR="00DB0B25" w:rsidRPr="00DB4CC5" w:rsidRDefault="00DB0B25" w:rsidP="00DB0B25">
      <w:pPr>
        <w:rPr>
          <w:lang w:val="en-NZ"/>
        </w:rPr>
      </w:pPr>
    </w:p>
    <w:p w:rsidR="00087D31" w:rsidRDefault="00560544" w:rsidP="00DB0B25">
      <w:pPr>
        <w:rPr>
          <w:lang w:val="en-NZ"/>
        </w:rPr>
      </w:pPr>
      <w:r>
        <w:rPr>
          <w:lang w:val="en-NZ"/>
        </w:rPr>
        <w:t>We agree t</w:t>
      </w:r>
      <w:r w:rsidR="001E4FA4">
        <w:rPr>
          <w:lang w:val="en-NZ"/>
        </w:rPr>
        <w:t>here are some</w:t>
      </w:r>
      <w:r>
        <w:rPr>
          <w:lang w:val="en-NZ"/>
        </w:rPr>
        <w:t xml:space="preserve"> limited</w:t>
      </w:r>
      <w:r w:rsidR="001E4FA4">
        <w:rPr>
          <w:lang w:val="en-NZ"/>
        </w:rPr>
        <w:t xml:space="preserve"> circumstances whe</w:t>
      </w:r>
      <w:r w:rsidR="00852FD1">
        <w:rPr>
          <w:lang w:val="en-NZ"/>
        </w:rPr>
        <w:t>n</w:t>
      </w:r>
      <w:r w:rsidR="001E4FA4">
        <w:rPr>
          <w:lang w:val="en-NZ"/>
        </w:rPr>
        <w:t xml:space="preserve"> the main home exception </w:t>
      </w:r>
      <w:r w:rsidR="00452AFA">
        <w:rPr>
          <w:lang w:val="en-NZ"/>
        </w:rPr>
        <w:t>would</w:t>
      </w:r>
      <w:r w:rsidR="001E4FA4">
        <w:rPr>
          <w:lang w:val="en-NZ"/>
        </w:rPr>
        <w:t xml:space="preserve"> be available for </w:t>
      </w:r>
      <w:r w:rsidR="00FE288E">
        <w:rPr>
          <w:lang w:val="en-NZ"/>
        </w:rPr>
        <w:t>persons who at the time of sale do not live in New Zealand</w:t>
      </w:r>
      <w:r w:rsidR="00F16E3E">
        <w:rPr>
          <w:lang w:val="en-NZ"/>
        </w:rPr>
        <w:t>.  T</w:t>
      </w:r>
      <w:r w:rsidR="001E4FA4">
        <w:rPr>
          <w:lang w:val="en-NZ"/>
        </w:rPr>
        <w:t xml:space="preserve">his could happen where a person </w:t>
      </w:r>
      <w:r w:rsidR="00FE288E">
        <w:rPr>
          <w:lang w:val="en-NZ"/>
        </w:rPr>
        <w:t>left New Zealand shortly</w:t>
      </w:r>
      <w:r w:rsidR="001E4FA4">
        <w:rPr>
          <w:lang w:val="en-NZ"/>
        </w:rPr>
        <w:t xml:space="preserve"> before selling but used the property as their main home</w:t>
      </w:r>
      <w:r w:rsidR="00FE288E">
        <w:rPr>
          <w:lang w:val="en-NZ"/>
        </w:rPr>
        <w:t xml:space="preserve"> while they were in New Zealand</w:t>
      </w:r>
      <w:r w:rsidR="001E4FA4">
        <w:rPr>
          <w:lang w:val="en-NZ"/>
        </w:rPr>
        <w:t>.</w:t>
      </w:r>
    </w:p>
    <w:p w:rsidR="000E7CA9" w:rsidRDefault="000E7CA9" w:rsidP="00DB0B25">
      <w:pPr>
        <w:rPr>
          <w:lang w:val="en-NZ"/>
        </w:rPr>
      </w:pPr>
    </w:p>
    <w:p w:rsidR="001E4FA4" w:rsidRPr="00DB4CC5" w:rsidRDefault="001E4FA4" w:rsidP="00DB0B25">
      <w:pPr>
        <w:rPr>
          <w:lang w:val="en-NZ"/>
        </w:rPr>
      </w:pPr>
      <w:r>
        <w:rPr>
          <w:lang w:val="en-NZ"/>
        </w:rPr>
        <w:t xml:space="preserve">We will </w:t>
      </w:r>
      <w:r w:rsidR="000E7CA9">
        <w:rPr>
          <w:lang w:val="en-NZ"/>
        </w:rPr>
        <w:t>clarify</w:t>
      </w:r>
      <w:r>
        <w:rPr>
          <w:lang w:val="en-NZ"/>
        </w:rPr>
        <w:t xml:space="preserve"> this</w:t>
      </w:r>
      <w:r w:rsidR="000E7CA9">
        <w:rPr>
          <w:lang w:val="en-NZ"/>
        </w:rPr>
        <w:t xml:space="preserve"> </w:t>
      </w:r>
      <w:r w:rsidR="00372BFF">
        <w:rPr>
          <w:lang w:val="en-NZ"/>
        </w:rPr>
        <w:t xml:space="preserve">point </w:t>
      </w:r>
      <w:r>
        <w:rPr>
          <w:lang w:val="en-NZ"/>
        </w:rPr>
        <w:t xml:space="preserve">in the </w:t>
      </w:r>
      <w:r w:rsidRPr="009B557D">
        <w:rPr>
          <w:i/>
          <w:lang w:val="en-NZ"/>
        </w:rPr>
        <w:t>Tax Information</w:t>
      </w:r>
      <w:r w:rsidR="00087D31" w:rsidRPr="009B557D">
        <w:rPr>
          <w:i/>
          <w:lang w:val="en-NZ"/>
        </w:rPr>
        <w:t xml:space="preserve"> Bulletin</w:t>
      </w:r>
      <w:r w:rsidR="00087D31">
        <w:rPr>
          <w:lang w:val="en-NZ"/>
        </w:rPr>
        <w:t>.</w:t>
      </w:r>
    </w:p>
    <w:p w:rsidR="00DB0B25" w:rsidRPr="00DB4CC5" w:rsidRDefault="00DB0B25" w:rsidP="00DB0B25">
      <w:pPr>
        <w:rPr>
          <w:lang w:val="en-NZ"/>
        </w:rPr>
      </w:pPr>
    </w:p>
    <w:p w:rsidR="00DB0B25" w:rsidRPr="00DB4CC5" w:rsidRDefault="00DB0B25" w:rsidP="00DB0B25">
      <w:pPr>
        <w:pStyle w:val="Heading2"/>
        <w:rPr>
          <w:lang w:val="en-NZ"/>
        </w:rPr>
      </w:pPr>
      <w:r w:rsidRPr="00DB4CC5">
        <w:rPr>
          <w:lang w:val="en-NZ"/>
        </w:rPr>
        <w:t>Recommendation</w:t>
      </w:r>
    </w:p>
    <w:p w:rsidR="00DB0B25" w:rsidRPr="00DB4CC5" w:rsidRDefault="00DB0B25" w:rsidP="00DB0B25">
      <w:pPr>
        <w:rPr>
          <w:lang w:val="en-NZ"/>
        </w:rPr>
      </w:pPr>
    </w:p>
    <w:p w:rsidR="00DB0B25" w:rsidRPr="00DB4CC5" w:rsidRDefault="00DB0B25" w:rsidP="00DB0B25">
      <w:pPr>
        <w:rPr>
          <w:lang w:val="en-NZ"/>
        </w:rPr>
      </w:pPr>
      <w:r w:rsidRPr="00DB4CC5">
        <w:rPr>
          <w:lang w:val="en-NZ"/>
        </w:rPr>
        <w:t xml:space="preserve">That the submission be </w:t>
      </w:r>
      <w:r w:rsidR="000E7CA9">
        <w:rPr>
          <w:lang w:val="en-NZ"/>
        </w:rPr>
        <w:t>noted.</w:t>
      </w:r>
    </w:p>
    <w:p w:rsidR="00087D31" w:rsidRPr="00DB4CC5" w:rsidRDefault="00087D31" w:rsidP="00087D31">
      <w:pPr>
        <w:pBdr>
          <w:bottom w:val="single" w:sz="4" w:space="1" w:color="auto"/>
        </w:pBdr>
        <w:rPr>
          <w:lang w:val="en-NZ"/>
        </w:rPr>
      </w:pPr>
    </w:p>
    <w:p w:rsidR="00552EC7" w:rsidRDefault="00552EC7" w:rsidP="00552EC7">
      <w:pPr>
        <w:rPr>
          <w:lang w:val="en-NZ"/>
        </w:rPr>
      </w:pPr>
    </w:p>
    <w:p w:rsidR="007E7996" w:rsidRPr="00DB4CC5" w:rsidRDefault="007E7996" w:rsidP="00552EC7">
      <w:pPr>
        <w:rPr>
          <w:lang w:val="en-NZ"/>
        </w:rPr>
      </w:pPr>
    </w:p>
    <w:p w:rsidR="00552EC7" w:rsidRPr="00DB4CC5" w:rsidRDefault="00552EC7" w:rsidP="00552EC7">
      <w:pPr>
        <w:pStyle w:val="Heading5"/>
        <w:ind w:left="794" w:hanging="794"/>
        <w:rPr>
          <w:lang w:val="en-NZ"/>
        </w:rPr>
      </w:pPr>
      <w:bookmarkStart w:id="58" w:name="_Toc432411946"/>
      <w:r w:rsidRPr="00DB4CC5">
        <w:rPr>
          <w:lang w:val="en-NZ"/>
        </w:rPr>
        <w:t>Issue:</w:t>
      </w:r>
      <w:r w:rsidRPr="00DB4CC5">
        <w:rPr>
          <w:lang w:val="en-NZ"/>
        </w:rPr>
        <w:tab/>
      </w:r>
      <w:r>
        <w:rPr>
          <w:lang w:val="en-NZ"/>
        </w:rPr>
        <w:t>Practical difficulty in applying principal settlor test</w:t>
      </w:r>
      <w:bookmarkEnd w:id="58"/>
    </w:p>
    <w:p w:rsidR="00552EC7" w:rsidRPr="00DB4CC5" w:rsidRDefault="00552EC7" w:rsidP="00552EC7">
      <w:pPr>
        <w:rPr>
          <w:lang w:val="en-NZ"/>
        </w:rPr>
      </w:pPr>
    </w:p>
    <w:p w:rsidR="00552EC7" w:rsidRPr="00DB4CC5" w:rsidRDefault="00552EC7" w:rsidP="00552EC7">
      <w:pPr>
        <w:rPr>
          <w:lang w:val="en-NZ"/>
        </w:rPr>
      </w:pPr>
    </w:p>
    <w:p w:rsidR="00552EC7" w:rsidRPr="00DB4CC5" w:rsidRDefault="00552EC7" w:rsidP="00552EC7">
      <w:pPr>
        <w:pStyle w:val="Heading2"/>
        <w:rPr>
          <w:lang w:val="en-NZ"/>
        </w:rPr>
      </w:pPr>
      <w:r w:rsidRPr="00DB4CC5">
        <w:rPr>
          <w:lang w:val="en-NZ"/>
        </w:rPr>
        <w:t>Submission</w:t>
      </w:r>
    </w:p>
    <w:p w:rsidR="00552EC7" w:rsidRPr="00DB4CC5" w:rsidRDefault="00552EC7" w:rsidP="00552EC7">
      <w:pPr>
        <w:pStyle w:val="Heading4"/>
        <w:rPr>
          <w:lang w:val="en-NZ"/>
        </w:rPr>
      </w:pPr>
      <w:r>
        <w:rPr>
          <w:lang w:val="en-NZ"/>
        </w:rPr>
        <w:t>(KPMG)</w:t>
      </w:r>
    </w:p>
    <w:p w:rsidR="00552EC7" w:rsidRPr="00DB4CC5" w:rsidRDefault="00552EC7" w:rsidP="00552EC7">
      <w:pPr>
        <w:tabs>
          <w:tab w:val="left" w:pos="5295"/>
        </w:tabs>
        <w:rPr>
          <w:lang w:val="en-NZ"/>
        </w:rPr>
      </w:pPr>
    </w:p>
    <w:p w:rsidR="00552EC7" w:rsidRDefault="00552EC7" w:rsidP="00552EC7">
      <w:pPr>
        <w:rPr>
          <w:lang w:val="en-NZ"/>
        </w:rPr>
      </w:pPr>
      <w:r>
        <w:rPr>
          <w:lang w:val="en-NZ"/>
        </w:rPr>
        <w:t>The principal settlor rule may be difficult to apply in practice where the trustee is independent of the settlor.</w:t>
      </w:r>
    </w:p>
    <w:p w:rsidR="00552EC7" w:rsidRDefault="00552EC7" w:rsidP="00552EC7">
      <w:pPr>
        <w:rPr>
          <w:lang w:val="en-NZ"/>
        </w:rPr>
      </w:pPr>
    </w:p>
    <w:p w:rsidR="00552EC7" w:rsidRPr="00DB4CC5" w:rsidRDefault="00552EC7" w:rsidP="00552EC7">
      <w:pPr>
        <w:rPr>
          <w:lang w:val="en-NZ"/>
        </w:rPr>
      </w:pPr>
      <w:r>
        <w:rPr>
          <w:lang w:val="en-NZ"/>
        </w:rPr>
        <w:t>The settlor may also wish to claim the main home exemption in respect of property owned by the trust, rather than property the settlor may be residing in</w:t>
      </w:r>
      <w:r w:rsidR="00F16E3E">
        <w:rPr>
          <w:lang w:val="en-NZ"/>
        </w:rPr>
        <w:t>.  A</w:t>
      </w:r>
      <w:r>
        <w:rPr>
          <w:lang w:val="en-NZ"/>
        </w:rPr>
        <w:t>t present the wording deems the main home exemption to apply to the settlor’s other property, regardless of whether they wish for that property to be their main home.</w:t>
      </w:r>
    </w:p>
    <w:p w:rsidR="00552EC7" w:rsidRPr="00DB4CC5" w:rsidRDefault="00552EC7" w:rsidP="00552EC7">
      <w:pPr>
        <w:rPr>
          <w:lang w:val="en-NZ"/>
        </w:rPr>
      </w:pPr>
    </w:p>
    <w:p w:rsidR="00552EC7" w:rsidRPr="00DB4CC5" w:rsidRDefault="00552EC7" w:rsidP="00552EC7">
      <w:pPr>
        <w:pStyle w:val="Heading2"/>
        <w:rPr>
          <w:lang w:val="en-NZ"/>
        </w:rPr>
      </w:pPr>
      <w:r w:rsidRPr="00DB4CC5">
        <w:rPr>
          <w:lang w:val="en-NZ"/>
        </w:rPr>
        <w:t>Comment</w:t>
      </w:r>
    </w:p>
    <w:p w:rsidR="00552EC7" w:rsidRPr="00DB4CC5" w:rsidRDefault="00552EC7" w:rsidP="00552EC7">
      <w:pPr>
        <w:rPr>
          <w:lang w:val="en-NZ"/>
        </w:rPr>
      </w:pPr>
    </w:p>
    <w:p w:rsidR="00552EC7" w:rsidRDefault="00D340BC" w:rsidP="00552EC7">
      <w:pPr>
        <w:rPr>
          <w:lang w:val="en-NZ"/>
        </w:rPr>
      </w:pPr>
      <w:r>
        <w:rPr>
          <w:lang w:val="en-NZ"/>
        </w:rPr>
        <w:t>The provision in the bill is consistent with the settlor</w:t>
      </w:r>
      <w:r w:rsidR="007B567C">
        <w:rPr>
          <w:lang w:val="en-NZ"/>
        </w:rPr>
        <w:t>-</w:t>
      </w:r>
      <w:r>
        <w:rPr>
          <w:lang w:val="en-NZ"/>
        </w:rPr>
        <w:t>focused rules in the trust rules.</w:t>
      </w:r>
    </w:p>
    <w:p w:rsidR="00D340BC" w:rsidRDefault="00D340BC" w:rsidP="00552EC7">
      <w:pPr>
        <w:rPr>
          <w:lang w:val="en-NZ"/>
        </w:rPr>
      </w:pPr>
    </w:p>
    <w:p w:rsidR="00D340BC" w:rsidRPr="00DB4CC5" w:rsidRDefault="00A9100F" w:rsidP="00552EC7">
      <w:pPr>
        <w:rPr>
          <w:lang w:val="en-NZ"/>
        </w:rPr>
      </w:pPr>
      <w:r>
        <w:rPr>
          <w:lang w:val="en-NZ"/>
        </w:rPr>
        <w:t>The main home exception does not allow a person to pick which of their properties they can treat as their main home</w:t>
      </w:r>
      <w:r w:rsidR="00F16E3E">
        <w:rPr>
          <w:lang w:val="en-NZ"/>
        </w:rPr>
        <w:t>.  I</w:t>
      </w:r>
      <w:r>
        <w:rPr>
          <w:lang w:val="en-NZ"/>
        </w:rPr>
        <w:t xml:space="preserve">f a person wishes to claim the main home exemption in respect of property, </w:t>
      </w:r>
      <w:r w:rsidR="001D12CA">
        <w:rPr>
          <w:lang w:val="en-NZ"/>
        </w:rPr>
        <w:t>it</w:t>
      </w:r>
      <w:r w:rsidR="007B567C">
        <w:rPr>
          <w:lang w:val="en-NZ"/>
        </w:rPr>
        <w:t xml:space="preserve"> actually</w:t>
      </w:r>
      <w:r w:rsidR="001D12CA">
        <w:rPr>
          <w:lang w:val="en-NZ"/>
        </w:rPr>
        <w:t xml:space="preserve"> needs to be their main home.</w:t>
      </w:r>
    </w:p>
    <w:p w:rsidR="00552EC7" w:rsidRPr="00DB4CC5" w:rsidRDefault="00552EC7" w:rsidP="00552EC7">
      <w:pPr>
        <w:rPr>
          <w:lang w:val="en-NZ"/>
        </w:rPr>
      </w:pPr>
    </w:p>
    <w:p w:rsidR="00552EC7" w:rsidRPr="00DB4CC5" w:rsidRDefault="00552EC7" w:rsidP="00552EC7">
      <w:pPr>
        <w:pStyle w:val="Heading2"/>
        <w:rPr>
          <w:lang w:val="en-NZ"/>
        </w:rPr>
      </w:pPr>
      <w:r w:rsidRPr="00DB4CC5">
        <w:rPr>
          <w:lang w:val="en-NZ"/>
        </w:rPr>
        <w:t>Recommendation</w:t>
      </w:r>
    </w:p>
    <w:p w:rsidR="00552EC7" w:rsidRPr="00DB4CC5" w:rsidRDefault="00552EC7" w:rsidP="00552EC7">
      <w:pPr>
        <w:rPr>
          <w:lang w:val="en-NZ"/>
        </w:rPr>
      </w:pPr>
    </w:p>
    <w:p w:rsidR="00552EC7" w:rsidRPr="00DB4CC5" w:rsidRDefault="00552EC7" w:rsidP="00552EC7">
      <w:pPr>
        <w:rPr>
          <w:lang w:val="en-NZ"/>
        </w:rPr>
      </w:pPr>
      <w:r w:rsidRPr="00DB4CC5">
        <w:rPr>
          <w:lang w:val="en-NZ"/>
        </w:rPr>
        <w:t xml:space="preserve">That the submission be </w:t>
      </w:r>
      <w:r w:rsidR="00D340BC">
        <w:rPr>
          <w:lang w:val="en-NZ"/>
        </w:rPr>
        <w:t>noted.</w:t>
      </w:r>
    </w:p>
    <w:p w:rsidR="00552EC7" w:rsidRPr="00DB4CC5" w:rsidRDefault="00552EC7" w:rsidP="00552EC7">
      <w:pPr>
        <w:pBdr>
          <w:bottom w:val="single" w:sz="4" w:space="1" w:color="auto"/>
        </w:pBdr>
        <w:rPr>
          <w:lang w:val="en-NZ"/>
        </w:rPr>
      </w:pPr>
    </w:p>
    <w:p w:rsidR="00F8174C" w:rsidRDefault="00F8174C" w:rsidP="007E7996"/>
    <w:p w:rsidR="007E7996" w:rsidRPr="007E7996" w:rsidRDefault="007E7996" w:rsidP="007E7996"/>
    <w:p w:rsidR="00F8174C" w:rsidRPr="00DB4CC5" w:rsidRDefault="00F8174C" w:rsidP="00F8174C">
      <w:pPr>
        <w:pStyle w:val="Heading5"/>
        <w:ind w:left="794" w:hanging="794"/>
        <w:rPr>
          <w:lang w:val="en-NZ"/>
        </w:rPr>
      </w:pPr>
      <w:bookmarkStart w:id="59" w:name="_Toc432411947"/>
      <w:r w:rsidRPr="00DB4CC5">
        <w:rPr>
          <w:lang w:val="en-NZ"/>
        </w:rPr>
        <w:t>Issue:</w:t>
      </w:r>
      <w:r w:rsidRPr="00DB4CC5">
        <w:rPr>
          <w:lang w:val="en-NZ"/>
        </w:rPr>
        <w:tab/>
      </w:r>
      <w:r>
        <w:rPr>
          <w:lang w:val="en-NZ"/>
        </w:rPr>
        <w:t>Principal settlor who has a main home that they do not own</w:t>
      </w:r>
      <w:bookmarkEnd w:id="59"/>
      <w:r>
        <w:rPr>
          <w:lang w:val="en-NZ"/>
        </w:rPr>
        <w:t xml:space="preserve"> </w:t>
      </w:r>
    </w:p>
    <w:p w:rsidR="00F8174C" w:rsidRPr="00DB4CC5" w:rsidRDefault="00F8174C" w:rsidP="00F8174C">
      <w:pPr>
        <w:rPr>
          <w:lang w:val="en-NZ"/>
        </w:rPr>
      </w:pPr>
    </w:p>
    <w:p w:rsidR="00F8174C" w:rsidRPr="00DB4CC5" w:rsidRDefault="00F8174C" w:rsidP="00F8174C">
      <w:pPr>
        <w:rPr>
          <w:lang w:val="en-NZ"/>
        </w:rPr>
      </w:pPr>
    </w:p>
    <w:p w:rsidR="00F8174C" w:rsidRPr="00DB4CC5" w:rsidRDefault="00F8174C" w:rsidP="00F8174C">
      <w:pPr>
        <w:pStyle w:val="Heading2"/>
        <w:rPr>
          <w:lang w:val="en-NZ"/>
        </w:rPr>
      </w:pPr>
      <w:r w:rsidRPr="00DB4CC5">
        <w:rPr>
          <w:lang w:val="en-NZ"/>
        </w:rPr>
        <w:t>Submission</w:t>
      </w:r>
    </w:p>
    <w:p w:rsidR="00F8174C" w:rsidRPr="00DB4CC5" w:rsidRDefault="00F8174C" w:rsidP="00F8174C">
      <w:pPr>
        <w:pStyle w:val="Heading4"/>
        <w:rPr>
          <w:lang w:val="en-NZ"/>
        </w:rPr>
      </w:pPr>
      <w:r>
        <w:rPr>
          <w:lang w:val="en-NZ"/>
        </w:rPr>
        <w:t>(Matter raised by officials)</w:t>
      </w:r>
    </w:p>
    <w:p w:rsidR="00F8174C" w:rsidRPr="00DB4CC5" w:rsidRDefault="00F8174C" w:rsidP="00F8174C">
      <w:pPr>
        <w:tabs>
          <w:tab w:val="left" w:pos="5295"/>
        </w:tabs>
        <w:rPr>
          <w:lang w:val="en-NZ"/>
        </w:rPr>
      </w:pPr>
    </w:p>
    <w:p w:rsidR="00F8174C" w:rsidRDefault="007B567C" w:rsidP="00F8174C">
      <w:pPr>
        <w:rPr>
          <w:lang w:val="en-NZ"/>
        </w:rPr>
      </w:pPr>
      <w:r>
        <w:rPr>
          <w:lang w:val="en-NZ"/>
        </w:rPr>
        <w:t>T</w:t>
      </w:r>
      <w:r w:rsidR="00F8174C">
        <w:rPr>
          <w:lang w:val="en-NZ"/>
        </w:rPr>
        <w:t xml:space="preserve">here is a gap in the </w:t>
      </w:r>
      <w:r>
        <w:rPr>
          <w:lang w:val="en-NZ"/>
        </w:rPr>
        <w:t>“</w:t>
      </w:r>
      <w:r w:rsidR="00F8174C">
        <w:rPr>
          <w:lang w:val="en-NZ"/>
        </w:rPr>
        <w:t>principal settlor</w:t>
      </w:r>
      <w:r>
        <w:rPr>
          <w:lang w:val="en-NZ"/>
        </w:rPr>
        <w:t>”</w:t>
      </w:r>
      <w:r w:rsidR="00260B7A">
        <w:rPr>
          <w:lang w:val="en-NZ"/>
        </w:rPr>
        <w:t xml:space="preserve"> provision</w:t>
      </w:r>
      <w:r w:rsidR="00F8174C">
        <w:rPr>
          <w:lang w:val="en-NZ"/>
        </w:rPr>
        <w:t xml:space="preserve"> which can lead to </w:t>
      </w:r>
      <w:r w:rsidR="00260B7A">
        <w:rPr>
          <w:lang w:val="en-NZ"/>
        </w:rPr>
        <w:t xml:space="preserve">a person being able </w:t>
      </w:r>
      <w:r w:rsidR="00F8174C">
        <w:rPr>
          <w:lang w:val="en-NZ"/>
        </w:rPr>
        <w:t>to</w:t>
      </w:r>
      <w:r w:rsidR="00260B7A">
        <w:rPr>
          <w:lang w:val="en-NZ"/>
        </w:rPr>
        <w:t xml:space="preserve"> access</w:t>
      </w:r>
      <w:r w:rsidR="00F8174C">
        <w:rPr>
          <w:lang w:val="en-NZ"/>
        </w:rPr>
        <w:t xml:space="preserve"> the mai</w:t>
      </w:r>
      <w:r w:rsidR="00260B7A">
        <w:rPr>
          <w:lang w:val="en-NZ"/>
        </w:rPr>
        <w:t>n home exception multiple times through the use of trusts.</w:t>
      </w:r>
    </w:p>
    <w:p w:rsidR="00F8174C" w:rsidRDefault="00F8174C" w:rsidP="00F8174C">
      <w:pPr>
        <w:rPr>
          <w:lang w:val="en-NZ"/>
        </w:rPr>
      </w:pPr>
    </w:p>
    <w:p w:rsidR="00BF6CFD" w:rsidRDefault="00F8174C" w:rsidP="00F8174C">
      <w:pPr>
        <w:rPr>
          <w:lang w:val="en-NZ"/>
        </w:rPr>
      </w:pPr>
      <w:r>
        <w:rPr>
          <w:lang w:val="en-NZ"/>
        </w:rPr>
        <w:t>This occur</w:t>
      </w:r>
      <w:r w:rsidR="00260B7A">
        <w:rPr>
          <w:lang w:val="en-NZ"/>
        </w:rPr>
        <w:t>s</w:t>
      </w:r>
      <w:r>
        <w:rPr>
          <w:lang w:val="en-NZ"/>
        </w:rPr>
        <w:t xml:space="preserve"> because proposed</w:t>
      </w:r>
      <w:r w:rsidR="007B567C">
        <w:rPr>
          <w:lang w:val="en-NZ"/>
        </w:rPr>
        <w:t xml:space="preserve"> section</w:t>
      </w:r>
      <w:r>
        <w:rPr>
          <w:lang w:val="en-NZ"/>
        </w:rPr>
        <w:t xml:space="preserve"> CB </w:t>
      </w:r>
      <w:proofErr w:type="gramStart"/>
      <w:r>
        <w:rPr>
          <w:lang w:val="en-NZ"/>
        </w:rPr>
        <w:t>16A(</w:t>
      </w:r>
      <w:proofErr w:type="gramEnd"/>
      <w:r>
        <w:rPr>
          <w:lang w:val="en-NZ"/>
        </w:rPr>
        <w:t xml:space="preserve">1)(b)(ii) only denies the main home exception when the principal settlor of the trust does not </w:t>
      </w:r>
      <w:r w:rsidRPr="009B557D">
        <w:rPr>
          <w:i/>
          <w:lang w:val="en-NZ"/>
        </w:rPr>
        <w:t>own</w:t>
      </w:r>
      <w:r>
        <w:rPr>
          <w:lang w:val="en-NZ"/>
        </w:rPr>
        <w:t xml:space="preserve"> a main home.</w:t>
      </w:r>
    </w:p>
    <w:p w:rsidR="00BF6CFD" w:rsidRDefault="00BF6CFD" w:rsidP="00F8174C">
      <w:pPr>
        <w:rPr>
          <w:lang w:val="en-NZ"/>
        </w:rPr>
      </w:pPr>
    </w:p>
    <w:p w:rsidR="00F8174C" w:rsidRPr="005669BA" w:rsidRDefault="00BF6CFD" w:rsidP="00F8174C">
      <w:pPr>
        <w:rPr>
          <w:lang w:val="en-NZ"/>
        </w:rPr>
      </w:pPr>
      <w:r>
        <w:rPr>
          <w:lang w:val="en-NZ"/>
        </w:rPr>
        <w:t xml:space="preserve">A person could work around this rule by ensuring that they do not </w:t>
      </w:r>
      <w:r>
        <w:rPr>
          <w:i/>
          <w:lang w:val="en-NZ"/>
        </w:rPr>
        <w:t>own</w:t>
      </w:r>
      <w:r>
        <w:rPr>
          <w:lang w:val="en-NZ"/>
        </w:rPr>
        <w:t xml:space="preserve"> their main home and instead rent their main home</w:t>
      </w:r>
      <w:r w:rsidR="00F16E3E">
        <w:rPr>
          <w:lang w:val="en-NZ"/>
        </w:rPr>
        <w:t>.  T</w:t>
      </w:r>
      <w:r>
        <w:rPr>
          <w:lang w:val="en-NZ"/>
        </w:rPr>
        <w:t>he person</w:t>
      </w:r>
      <w:r w:rsidR="00222296">
        <w:rPr>
          <w:lang w:val="en-NZ"/>
        </w:rPr>
        <w:t xml:space="preserve"> could then place their properties</w:t>
      </w:r>
      <w:r>
        <w:rPr>
          <w:lang w:val="en-NZ"/>
        </w:rPr>
        <w:t xml:space="preserve"> in trust and </w:t>
      </w:r>
      <w:r w:rsidR="001A20DE">
        <w:rPr>
          <w:lang w:val="en-NZ"/>
        </w:rPr>
        <w:t>use</w:t>
      </w:r>
      <w:r>
        <w:rPr>
          <w:lang w:val="en-NZ"/>
        </w:rPr>
        <w:t xml:space="preserve"> the main home exception for multiple properties without the principal settlor restrictions.</w:t>
      </w:r>
    </w:p>
    <w:p w:rsidR="00F8174C" w:rsidRPr="00DB4CC5" w:rsidRDefault="00F8174C" w:rsidP="00F8174C">
      <w:pPr>
        <w:rPr>
          <w:lang w:val="en-NZ"/>
        </w:rPr>
      </w:pPr>
    </w:p>
    <w:p w:rsidR="00F8174C" w:rsidRPr="00DB4CC5" w:rsidRDefault="00F8174C" w:rsidP="00F8174C">
      <w:pPr>
        <w:pStyle w:val="Heading2"/>
        <w:rPr>
          <w:lang w:val="en-NZ"/>
        </w:rPr>
      </w:pPr>
      <w:r w:rsidRPr="00DB4CC5">
        <w:rPr>
          <w:lang w:val="en-NZ"/>
        </w:rPr>
        <w:t>Comment</w:t>
      </w:r>
    </w:p>
    <w:p w:rsidR="00F8174C" w:rsidRPr="00DB4CC5" w:rsidRDefault="00F8174C" w:rsidP="00F8174C">
      <w:pPr>
        <w:rPr>
          <w:lang w:val="en-NZ"/>
        </w:rPr>
      </w:pPr>
    </w:p>
    <w:p w:rsidR="00F8174C" w:rsidRDefault="00F8174C" w:rsidP="00F8174C">
      <w:pPr>
        <w:rPr>
          <w:lang w:val="en-NZ"/>
        </w:rPr>
      </w:pPr>
      <w:r>
        <w:rPr>
          <w:lang w:val="en-NZ"/>
        </w:rPr>
        <w:t xml:space="preserve">The principal settlor provisions are intended to ensure that people cannot </w:t>
      </w:r>
      <w:r w:rsidR="009E7970">
        <w:rPr>
          <w:lang w:val="en-NZ"/>
        </w:rPr>
        <w:t xml:space="preserve">use </w:t>
      </w:r>
      <w:r>
        <w:rPr>
          <w:lang w:val="en-NZ"/>
        </w:rPr>
        <w:t>the main home exception multiple times through the use of trusts.</w:t>
      </w:r>
    </w:p>
    <w:p w:rsidR="00F8174C" w:rsidRDefault="00F8174C" w:rsidP="00F8174C">
      <w:pPr>
        <w:rPr>
          <w:lang w:val="en-NZ"/>
        </w:rPr>
      </w:pPr>
    </w:p>
    <w:p w:rsidR="00F8174C" w:rsidRPr="00DB4CC5" w:rsidRDefault="00F8174C" w:rsidP="00F8174C">
      <w:pPr>
        <w:rPr>
          <w:lang w:val="en-NZ"/>
        </w:rPr>
      </w:pPr>
      <w:r>
        <w:rPr>
          <w:lang w:val="en-NZ"/>
        </w:rPr>
        <w:t>We consider that this gap</w:t>
      </w:r>
      <w:r w:rsidR="00BF6CFD">
        <w:rPr>
          <w:lang w:val="en-NZ"/>
        </w:rPr>
        <w:t xml:space="preserve"> should be closed</w:t>
      </w:r>
      <w:r w:rsidR="00F16E3E">
        <w:rPr>
          <w:lang w:val="en-NZ"/>
        </w:rPr>
        <w:t>.  T</w:t>
      </w:r>
      <w:r w:rsidR="0077203F">
        <w:rPr>
          <w:lang w:val="en-NZ"/>
        </w:rPr>
        <w:t>his</w:t>
      </w:r>
      <w:r w:rsidR="00BF6CFD">
        <w:rPr>
          <w:lang w:val="en-NZ"/>
        </w:rPr>
        <w:t xml:space="preserve"> could be </w:t>
      </w:r>
      <w:r>
        <w:rPr>
          <w:lang w:val="en-NZ"/>
        </w:rPr>
        <w:t>remedied by changing the requirement that the</w:t>
      </w:r>
      <w:r w:rsidR="00457F6C">
        <w:rPr>
          <w:lang w:val="en-NZ"/>
        </w:rPr>
        <w:t xml:space="preserve"> principal</w:t>
      </w:r>
      <w:r>
        <w:rPr>
          <w:lang w:val="en-NZ"/>
        </w:rPr>
        <w:t xml:space="preserve"> </w:t>
      </w:r>
      <w:r w:rsidR="00222296">
        <w:rPr>
          <w:lang w:val="en-NZ"/>
        </w:rPr>
        <w:t xml:space="preserve">settlor </w:t>
      </w:r>
      <w:r>
        <w:rPr>
          <w:lang w:val="en-NZ"/>
        </w:rPr>
        <w:t>“own” a main home to a requirement that they “have” a main home.</w:t>
      </w:r>
    </w:p>
    <w:p w:rsidR="00F8174C" w:rsidRPr="00DB4CC5" w:rsidRDefault="00F8174C" w:rsidP="00F8174C">
      <w:pPr>
        <w:rPr>
          <w:lang w:val="en-NZ"/>
        </w:rPr>
      </w:pPr>
    </w:p>
    <w:p w:rsidR="00F8174C" w:rsidRPr="00DB4CC5" w:rsidRDefault="00F8174C" w:rsidP="00F8174C">
      <w:pPr>
        <w:pStyle w:val="Heading2"/>
        <w:rPr>
          <w:lang w:val="en-NZ"/>
        </w:rPr>
      </w:pPr>
      <w:r w:rsidRPr="00DB4CC5">
        <w:rPr>
          <w:lang w:val="en-NZ"/>
        </w:rPr>
        <w:t>Recommendation</w:t>
      </w:r>
    </w:p>
    <w:p w:rsidR="00F8174C" w:rsidRPr="00DB4CC5" w:rsidRDefault="00F8174C" w:rsidP="00F8174C">
      <w:pPr>
        <w:rPr>
          <w:lang w:val="en-NZ"/>
        </w:rPr>
      </w:pPr>
    </w:p>
    <w:p w:rsidR="00F8174C" w:rsidRPr="00DB4CC5" w:rsidRDefault="00F8174C" w:rsidP="00F8174C">
      <w:pPr>
        <w:rPr>
          <w:lang w:val="en-NZ"/>
        </w:rPr>
      </w:pPr>
      <w:r w:rsidRPr="00DB4CC5">
        <w:rPr>
          <w:lang w:val="en-NZ"/>
        </w:rPr>
        <w:t xml:space="preserve">That the submission be </w:t>
      </w:r>
      <w:r>
        <w:rPr>
          <w:lang w:val="en-NZ"/>
        </w:rPr>
        <w:t>accepted.</w:t>
      </w:r>
    </w:p>
    <w:p w:rsidR="00552EC7" w:rsidRPr="00DB4CC5" w:rsidRDefault="00552EC7" w:rsidP="00552EC7">
      <w:pPr>
        <w:rPr>
          <w:lang w:val="en-NZ"/>
        </w:rPr>
      </w:pPr>
    </w:p>
    <w:p w:rsidR="00552EC7" w:rsidRDefault="00552EC7" w:rsidP="00552EC7">
      <w:pPr>
        <w:jc w:val="left"/>
        <w:rPr>
          <w:b/>
          <w:caps/>
          <w:sz w:val="26"/>
          <w:lang w:val="en-NZ"/>
        </w:rPr>
      </w:pPr>
      <w:r>
        <w:br w:type="page"/>
      </w:r>
    </w:p>
    <w:p w:rsidR="00D95FF8" w:rsidRPr="00DB4CC5" w:rsidRDefault="00D95FF8" w:rsidP="00D95FF8">
      <w:pPr>
        <w:pStyle w:val="Heading1"/>
      </w:pPr>
      <w:bookmarkStart w:id="60" w:name="_Toc432411948"/>
      <w:r>
        <w:t>Inherited property</w:t>
      </w:r>
      <w:bookmarkEnd w:id="60"/>
    </w:p>
    <w:p w:rsidR="00D95FF8" w:rsidRPr="00DB4CC5" w:rsidRDefault="00D95FF8" w:rsidP="00D95FF8">
      <w:pPr>
        <w:rPr>
          <w:lang w:val="en-NZ"/>
        </w:rPr>
      </w:pPr>
    </w:p>
    <w:p w:rsidR="00D95FF8" w:rsidRDefault="000E7CA9" w:rsidP="00D95FF8">
      <w:pPr>
        <w:pStyle w:val="Heading3"/>
        <w:rPr>
          <w:lang w:val="en-NZ"/>
        </w:rPr>
      </w:pPr>
      <w:r>
        <w:rPr>
          <w:lang w:val="en-NZ"/>
        </w:rPr>
        <w:t>Clauses 4(3) and 11</w:t>
      </w:r>
    </w:p>
    <w:p w:rsidR="00D95FF8" w:rsidRDefault="00D95FF8" w:rsidP="00D95FF8">
      <w:pPr>
        <w:rPr>
          <w:lang w:val="en-NZ"/>
        </w:rPr>
      </w:pPr>
    </w:p>
    <w:p w:rsidR="00D95FF8" w:rsidRPr="00DB4CC5" w:rsidRDefault="00D95FF8" w:rsidP="00D95FF8">
      <w:pPr>
        <w:rPr>
          <w:lang w:val="en-NZ"/>
        </w:rPr>
      </w:pPr>
    </w:p>
    <w:p w:rsidR="00D95FF8" w:rsidRPr="00DB4CC5" w:rsidRDefault="00D95FF8" w:rsidP="00D95FF8">
      <w:pPr>
        <w:pStyle w:val="Heading5"/>
        <w:ind w:left="794" w:hanging="794"/>
        <w:rPr>
          <w:lang w:val="en-NZ"/>
        </w:rPr>
      </w:pPr>
      <w:bookmarkStart w:id="61" w:name="_Toc432411949"/>
      <w:r w:rsidRPr="00DB4CC5">
        <w:rPr>
          <w:lang w:val="en-NZ"/>
        </w:rPr>
        <w:t>Issue:</w:t>
      </w:r>
      <w:r w:rsidRPr="00DB4CC5">
        <w:rPr>
          <w:lang w:val="en-NZ"/>
        </w:rPr>
        <w:tab/>
      </w:r>
      <w:r w:rsidR="00B95617">
        <w:rPr>
          <w:lang w:val="en-NZ"/>
        </w:rPr>
        <w:t>Drafting of “cost of residential land”</w:t>
      </w:r>
      <w:bookmarkEnd w:id="61"/>
    </w:p>
    <w:p w:rsidR="00D95FF8" w:rsidRPr="00DB4CC5" w:rsidRDefault="00D95FF8" w:rsidP="00D95FF8">
      <w:pPr>
        <w:rPr>
          <w:lang w:val="en-NZ"/>
        </w:rPr>
      </w:pPr>
    </w:p>
    <w:p w:rsidR="00D95FF8" w:rsidRPr="00DB4CC5" w:rsidRDefault="00D95FF8" w:rsidP="00D95FF8">
      <w:pPr>
        <w:rPr>
          <w:lang w:val="en-NZ"/>
        </w:rPr>
      </w:pPr>
    </w:p>
    <w:p w:rsidR="00D95FF8" w:rsidRPr="00DB4CC5" w:rsidRDefault="00D95FF8" w:rsidP="00D95FF8">
      <w:pPr>
        <w:pStyle w:val="Heading2"/>
        <w:rPr>
          <w:lang w:val="en-NZ"/>
        </w:rPr>
      </w:pPr>
      <w:r w:rsidRPr="00DB4CC5">
        <w:rPr>
          <w:lang w:val="en-NZ"/>
        </w:rPr>
        <w:t>Submission</w:t>
      </w:r>
    </w:p>
    <w:p w:rsidR="00D95FF8" w:rsidRPr="00DB4CC5" w:rsidRDefault="006854C1" w:rsidP="00D95FF8">
      <w:pPr>
        <w:pStyle w:val="Heading4"/>
        <w:rPr>
          <w:lang w:val="en-NZ"/>
        </w:rPr>
      </w:pPr>
      <w:r>
        <w:rPr>
          <w:lang w:val="en-NZ"/>
        </w:rPr>
        <w:t>(New Zealand Law Society)</w:t>
      </w:r>
    </w:p>
    <w:p w:rsidR="00D95FF8" w:rsidRPr="00DB4CC5" w:rsidRDefault="00D95FF8" w:rsidP="00D95FF8">
      <w:pPr>
        <w:tabs>
          <w:tab w:val="left" w:pos="5295"/>
        </w:tabs>
        <w:rPr>
          <w:lang w:val="en-NZ"/>
        </w:rPr>
      </w:pPr>
    </w:p>
    <w:p w:rsidR="00D95FF8" w:rsidRDefault="00EB3B2D" w:rsidP="00D95FF8">
      <w:pPr>
        <w:rPr>
          <w:lang w:val="en-NZ"/>
        </w:rPr>
      </w:pPr>
      <w:r>
        <w:rPr>
          <w:lang w:val="en-NZ"/>
        </w:rPr>
        <w:t>The drafting of the inheritance rollover includes in the value of the land being rolled over expenditure that does not relate to the land as well as expenditure on revenue account.</w:t>
      </w:r>
    </w:p>
    <w:p w:rsidR="00EB3B2D" w:rsidRDefault="00EB3B2D" w:rsidP="00D95FF8">
      <w:pPr>
        <w:rPr>
          <w:lang w:val="en-NZ"/>
        </w:rPr>
      </w:pPr>
    </w:p>
    <w:p w:rsidR="00EB3B2D" w:rsidRPr="00DB4CC5" w:rsidRDefault="00EB3B2D" w:rsidP="00D95FF8">
      <w:pPr>
        <w:rPr>
          <w:lang w:val="en-NZ"/>
        </w:rPr>
      </w:pPr>
      <w:r>
        <w:rPr>
          <w:lang w:val="en-NZ"/>
        </w:rPr>
        <w:t xml:space="preserve">The drafting should be clarified </w:t>
      </w:r>
      <w:r w:rsidR="0077203F">
        <w:rPr>
          <w:lang w:val="en-NZ"/>
        </w:rPr>
        <w:t>s</w:t>
      </w:r>
      <w:r>
        <w:rPr>
          <w:lang w:val="en-NZ"/>
        </w:rPr>
        <w:t>o that the expenditure must relate to the subject land and only expenditure of a capital nature is included.</w:t>
      </w:r>
    </w:p>
    <w:p w:rsidR="00D95FF8" w:rsidRPr="00DB4CC5" w:rsidRDefault="00D95FF8" w:rsidP="00D95FF8">
      <w:pPr>
        <w:rPr>
          <w:lang w:val="en-NZ"/>
        </w:rPr>
      </w:pPr>
    </w:p>
    <w:p w:rsidR="00D95FF8" w:rsidRPr="00DB4CC5" w:rsidRDefault="00D95FF8" w:rsidP="00D95FF8">
      <w:pPr>
        <w:pStyle w:val="Heading2"/>
        <w:rPr>
          <w:lang w:val="en-NZ"/>
        </w:rPr>
      </w:pPr>
      <w:r w:rsidRPr="00DB4CC5">
        <w:rPr>
          <w:lang w:val="en-NZ"/>
        </w:rPr>
        <w:t>Comment</w:t>
      </w:r>
    </w:p>
    <w:p w:rsidR="00D95FF8" w:rsidRDefault="00D95FF8" w:rsidP="00D95FF8">
      <w:pPr>
        <w:rPr>
          <w:lang w:val="en-NZ"/>
        </w:rPr>
      </w:pPr>
    </w:p>
    <w:p w:rsidR="00093B7B" w:rsidRPr="00DB4CC5" w:rsidRDefault="00093B7B" w:rsidP="00D95FF8">
      <w:pPr>
        <w:rPr>
          <w:lang w:val="en-NZ"/>
        </w:rPr>
      </w:pPr>
      <w:r>
        <w:rPr>
          <w:lang w:val="en-NZ"/>
        </w:rPr>
        <w:t>The drafting of “cost of residential land” is consistent with the current land rules for inheritance</w:t>
      </w:r>
      <w:r w:rsidR="00F16E3E">
        <w:rPr>
          <w:lang w:val="en-NZ"/>
        </w:rPr>
        <w:t>.  W</w:t>
      </w:r>
      <w:r>
        <w:rPr>
          <w:lang w:val="en-NZ"/>
        </w:rPr>
        <w:t>e expect that the same interpretation would be applied for both.</w:t>
      </w:r>
    </w:p>
    <w:p w:rsidR="00D95FF8" w:rsidRPr="00DB4CC5" w:rsidRDefault="00D95FF8" w:rsidP="00D95FF8">
      <w:pPr>
        <w:rPr>
          <w:lang w:val="en-NZ"/>
        </w:rPr>
      </w:pPr>
    </w:p>
    <w:p w:rsidR="00D95FF8" w:rsidRPr="00DB4CC5" w:rsidRDefault="00D95FF8" w:rsidP="00D95FF8">
      <w:pPr>
        <w:pStyle w:val="Heading2"/>
        <w:rPr>
          <w:lang w:val="en-NZ"/>
        </w:rPr>
      </w:pPr>
      <w:r w:rsidRPr="00DB4CC5">
        <w:rPr>
          <w:lang w:val="en-NZ"/>
        </w:rPr>
        <w:t>Recommendation</w:t>
      </w:r>
    </w:p>
    <w:p w:rsidR="00D95FF8" w:rsidRPr="00DB4CC5" w:rsidRDefault="00D95FF8" w:rsidP="00D95FF8">
      <w:pPr>
        <w:rPr>
          <w:lang w:val="en-NZ"/>
        </w:rPr>
      </w:pPr>
    </w:p>
    <w:p w:rsidR="00D95FF8" w:rsidRPr="00DB4CC5" w:rsidRDefault="00D95FF8" w:rsidP="00D95FF8">
      <w:pPr>
        <w:rPr>
          <w:lang w:val="en-NZ"/>
        </w:rPr>
      </w:pPr>
      <w:r w:rsidRPr="00DB4CC5">
        <w:rPr>
          <w:lang w:val="en-NZ"/>
        </w:rPr>
        <w:t xml:space="preserve">That the submission be </w:t>
      </w:r>
      <w:r w:rsidR="00093B7B">
        <w:rPr>
          <w:lang w:val="en-NZ"/>
        </w:rPr>
        <w:t>declined</w:t>
      </w:r>
      <w:r w:rsidR="00FE288E">
        <w:rPr>
          <w:lang w:val="en-NZ"/>
        </w:rPr>
        <w:t>.</w:t>
      </w:r>
    </w:p>
    <w:p w:rsidR="00D95FF8" w:rsidRPr="00DB4CC5" w:rsidRDefault="00D95FF8" w:rsidP="00D95FF8">
      <w:pPr>
        <w:pBdr>
          <w:bottom w:val="single" w:sz="4" w:space="1" w:color="auto"/>
        </w:pBdr>
        <w:rPr>
          <w:lang w:val="en-NZ"/>
        </w:rPr>
      </w:pPr>
    </w:p>
    <w:p w:rsidR="00D95FF8" w:rsidRDefault="00D95FF8" w:rsidP="00D95FF8">
      <w:pPr>
        <w:rPr>
          <w:lang w:val="en-NZ"/>
        </w:rPr>
      </w:pPr>
    </w:p>
    <w:p w:rsidR="007E7996" w:rsidRPr="00DB4CC5" w:rsidRDefault="007E7996" w:rsidP="00D95FF8">
      <w:pPr>
        <w:rPr>
          <w:lang w:val="en-NZ"/>
        </w:rPr>
      </w:pPr>
    </w:p>
    <w:p w:rsidR="00D95FF8" w:rsidRPr="00DB4CC5" w:rsidRDefault="00D95FF8" w:rsidP="00D95FF8">
      <w:pPr>
        <w:pStyle w:val="Heading5"/>
        <w:ind w:left="794" w:hanging="794"/>
        <w:rPr>
          <w:lang w:val="en-NZ"/>
        </w:rPr>
      </w:pPr>
      <w:bookmarkStart w:id="62" w:name="_Toc432411950"/>
      <w:r w:rsidRPr="00DB4CC5">
        <w:rPr>
          <w:lang w:val="en-NZ"/>
        </w:rPr>
        <w:t>Issue:</w:t>
      </w:r>
      <w:r w:rsidRPr="00DB4CC5">
        <w:rPr>
          <w:lang w:val="en-NZ"/>
        </w:rPr>
        <w:tab/>
      </w:r>
      <w:r w:rsidR="009345FB">
        <w:rPr>
          <w:lang w:val="en-NZ"/>
        </w:rPr>
        <w:t>Redrafting inheritance provision</w:t>
      </w:r>
      <w:bookmarkEnd w:id="62"/>
    </w:p>
    <w:p w:rsidR="00D95FF8" w:rsidRPr="00DB4CC5" w:rsidRDefault="00D95FF8" w:rsidP="00D95FF8">
      <w:pPr>
        <w:rPr>
          <w:lang w:val="en-NZ"/>
        </w:rPr>
      </w:pPr>
    </w:p>
    <w:p w:rsidR="00D95FF8" w:rsidRPr="00DB4CC5" w:rsidRDefault="00D95FF8" w:rsidP="00D95FF8">
      <w:pPr>
        <w:rPr>
          <w:lang w:val="en-NZ"/>
        </w:rPr>
      </w:pPr>
    </w:p>
    <w:p w:rsidR="00D95FF8" w:rsidRPr="00DB4CC5" w:rsidRDefault="00D95FF8" w:rsidP="00D95FF8">
      <w:pPr>
        <w:pStyle w:val="Heading2"/>
        <w:rPr>
          <w:lang w:val="en-NZ"/>
        </w:rPr>
      </w:pPr>
      <w:r w:rsidRPr="00DB4CC5">
        <w:rPr>
          <w:lang w:val="en-NZ"/>
        </w:rPr>
        <w:t>Submission</w:t>
      </w:r>
    </w:p>
    <w:p w:rsidR="00D95FF8" w:rsidRPr="00DB4CC5" w:rsidRDefault="002C02A3" w:rsidP="00D95FF8">
      <w:pPr>
        <w:pStyle w:val="Heading4"/>
        <w:rPr>
          <w:lang w:val="en-NZ"/>
        </w:rPr>
      </w:pPr>
      <w:r>
        <w:rPr>
          <w:lang w:val="en-NZ"/>
        </w:rPr>
        <w:t>(EY)</w:t>
      </w:r>
    </w:p>
    <w:p w:rsidR="00D95FF8" w:rsidRDefault="00D95FF8" w:rsidP="00D95FF8">
      <w:pPr>
        <w:rPr>
          <w:lang w:val="en-NZ"/>
        </w:rPr>
      </w:pPr>
    </w:p>
    <w:p w:rsidR="009345FB" w:rsidRDefault="00CF679C" w:rsidP="009345FB">
      <w:pPr>
        <w:rPr>
          <w:lang w:val="en-NZ"/>
        </w:rPr>
      </w:pPr>
      <w:r>
        <w:rPr>
          <w:lang w:val="en-NZ"/>
        </w:rPr>
        <w:t>P</w:t>
      </w:r>
      <w:r w:rsidR="009345FB">
        <w:rPr>
          <w:lang w:val="en-NZ"/>
        </w:rPr>
        <w:t>roposed new section</w:t>
      </w:r>
      <w:r>
        <w:rPr>
          <w:lang w:val="en-NZ"/>
        </w:rPr>
        <w:t>s</w:t>
      </w:r>
      <w:r w:rsidR="009345FB">
        <w:rPr>
          <w:lang w:val="en-NZ"/>
        </w:rPr>
        <w:t xml:space="preserve"> CB </w:t>
      </w:r>
      <w:proofErr w:type="gramStart"/>
      <w:r w:rsidR="009345FB">
        <w:rPr>
          <w:lang w:val="en-NZ"/>
        </w:rPr>
        <w:t>6A(</w:t>
      </w:r>
      <w:proofErr w:type="gramEnd"/>
      <w:r w:rsidR="009345FB">
        <w:rPr>
          <w:lang w:val="en-NZ"/>
        </w:rPr>
        <w:t>3) and FC 9 are not appropriate to achieve the intended outcome.</w:t>
      </w:r>
    </w:p>
    <w:p w:rsidR="009345FB" w:rsidRDefault="009345FB" w:rsidP="009345FB">
      <w:pPr>
        <w:rPr>
          <w:lang w:val="en-NZ"/>
        </w:rPr>
      </w:pPr>
    </w:p>
    <w:p w:rsidR="009345FB" w:rsidRDefault="009345FB" w:rsidP="00D95FF8">
      <w:pPr>
        <w:rPr>
          <w:lang w:val="en-NZ"/>
        </w:rPr>
      </w:pPr>
      <w:r>
        <w:rPr>
          <w:lang w:val="en-NZ"/>
        </w:rPr>
        <w:t xml:space="preserve">The simpler approach </w:t>
      </w:r>
      <w:r w:rsidR="00CF679C">
        <w:rPr>
          <w:lang w:val="en-NZ"/>
        </w:rPr>
        <w:t>would be</w:t>
      </w:r>
      <w:r>
        <w:rPr>
          <w:lang w:val="en-NZ"/>
        </w:rPr>
        <w:t xml:space="preserve"> to amend section CB </w:t>
      </w:r>
      <w:proofErr w:type="gramStart"/>
      <w:r>
        <w:rPr>
          <w:lang w:val="en-NZ"/>
        </w:rPr>
        <w:t>6A(</w:t>
      </w:r>
      <w:proofErr w:type="gramEnd"/>
      <w:r>
        <w:rPr>
          <w:lang w:val="en-NZ"/>
        </w:rPr>
        <w:t>3) to include a reference to transfers to a deceased’s personal representatives as described in section FC 1(1)(a) as well as to disposals made by personal representatives as described in section FC 1(1)(a)</w:t>
      </w:r>
      <w:r w:rsidR="00CF679C">
        <w:rPr>
          <w:lang w:val="en-NZ"/>
        </w:rPr>
        <w:t>,</w:t>
      </w:r>
      <w:r>
        <w:rPr>
          <w:lang w:val="en-NZ"/>
        </w:rPr>
        <w:t xml:space="preserve"> as well as to disposals made by such personal representatives and disposals by beneficiaries who receive residential land by inheritance under a will or on intestacy.</w:t>
      </w:r>
    </w:p>
    <w:p w:rsidR="009345FB" w:rsidRPr="00DB4CC5" w:rsidRDefault="009345FB" w:rsidP="00D95FF8">
      <w:pPr>
        <w:rPr>
          <w:lang w:val="en-NZ"/>
        </w:rPr>
      </w:pPr>
    </w:p>
    <w:p w:rsidR="00D95FF8" w:rsidRPr="00DB4CC5" w:rsidRDefault="00D95FF8" w:rsidP="00D95FF8">
      <w:pPr>
        <w:pStyle w:val="Heading2"/>
        <w:rPr>
          <w:lang w:val="en-NZ"/>
        </w:rPr>
      </w:pPr>
      <w:r w:rsidRPr="00DB4CC5">
        <w:rPr>
          <w:lang w:val="en-NZ"/>
        </w:rPr>
        <w:t>Comment</w:t>
      </w:r>
    </w:p>
    <w:p w:rsidR="00D95FF8" w:rsidRPr="00DB4CC5" w:rsidRDefault="00D95FF8" w:rsidP="00D95FF8">
      <w:pPr>
        <w:rPr>
          <w:lang w:val="en-NZ"/>
        </w:rPr>
      </w:pPr>
    </w:p>
    <w:p w:rsidR="00B13139" w:rsidRDefault="009345FB" w:rsidP="009345FB">
      <w:pPr>
        <w:rPr>
          <w:lang w:val="en-NZ"/>
        </w:rPr>
      </w:pPr>
      <w:r>
        <w:rPr>
          <w:lang w:val="en-NZ"/>
        </w:rPr>
        <w:t xml:space="preserve">Subpart FC contains </w:t>
      </w:r>
      <w:r w:rsidR="00D01ED7">
        <w:rPr>
          <w:lang w:val="en-NZ"/>
        </w:rPr>
        <w:t>the provisions</w:t>
      </w:r>
      <w:r>
        <w:rPr>
          <w:lang w:val="en-NZ"/>
        </w:rPr>
        <w:t xml:space="preserve"> dealing with inheritance</w:t>
      </w:r>
      <w:r w:rsidR="00F16E3E">
        <w:rPr>
          <w:lang w:val="en-NZ"/>
        </w:rPr>
        <w:t>.  W</w:t>
      </w:r>
      <w:r>
        <w:rPr>
          <w:lang w:val="en-NZ"/>
        </w:rPr>
        <w:t>e consider that including the inheritance provisions for the bright-line test within subpart FC is more consistent with the sc</w:t>
      </w:r>
      <w:r w:rsidR="00D01ED7">
        <w:rPr>
          <w:lang w:val="en-NZ"/>
        </w:rPr>
        <w:t>h</w:t>
      </w:r>
      <w:r>
        <w:rPr>
          <w:lang w:val="en-NZ"/>
        </w:rPr>
        <w:t>eme of the</w:t>
      </w:r>
      <w:r w:rsidR="00CF679C">
        <w:rPr>
          <w:lang w:val="en-NZ"/>
        </w:rPr>
        <w:t xml:space="preserve"> Income Tax</w:t>
      </w:r>
      <w:r>
        <w:rPr>
          <w:lang w:val="en-NZ"/>
        </w:rPr>
        <w:t xml:space="preserve"> Act.</w:t>
      </w:r>
    </w:p>
    <w:p w:rsidR="009345FB" w:rsidRDefault="009345FB" w:rsidP="009345FB">
      <w:pPr>
        <w:rPr>
          <w:lang w:val="en-NZ"/>
        </w:rPr>
      </w:pPr>
    </w:p>
    <w:p w:rsidR="009345FB" w:rsidRPr="00DB4CC5" w:rsidRDefault="009345FB" w:rsidP="009345FB">
      <w:pPr>
        <w:rPr>
          <w:lang w:val="en-NZ"/>
        </w:rPr>
      </w:pPr>
      <w:r>
        <w:rPr>
          <w:lang w:val="en-NZ"/>
        </w:rPr>
        <w:t>We also consider that moving away from this scheme would result in unintended consequences.</w:t>
      </w:r>
    </w:p>
    <w:p w:rsidR="00D95FF8" w:rsidRPr="00DB4CC5" w:rsidRDefault="00D95FF8" w:rsidP="00D95FF8">
      <w:pPr>
        <w:rPr>
          <w:lang w:val="en-NZ"/>
        </w:rPr>
      </w:pPr>
    </w:p>
    <w:p w:rsidR="00D95FF8" w:rsidRPr="00DB4CC5" w:rsidRDefault="00D95FF8" w:rsidP="00D95FF8">
      <w:pPr>
        <w:pStyle w:val="Heading2"/>
        <w:rPr>
          <w:lang w:val="en-NZ"/>
        </w:rPr>
      </w:pPr>
      <w:r w:rsidRPr="00DB4CC5">
        <w:rPr>
          <w:lang w:val="en-NZ"/>
        </w:rPr>
        <w:t>Recommendation</w:t>
      </w:r>
    </w:p>
    <w:p w:rsidR="00D95FF8" w:rsidRPr="00DB4CC5" w:rsidRDefault="00D95FF8" w:rsidP="00D95FF8">
      <w:pPr>
        <w:rPr>
          <w:lang w:val="en-NZ"/>
        </w:rPr>
      </w:pPr>
    </w:p>
    <w:p w:rsidR="00D95FF8" w:rsidRPr="00DB4CC5" w:rsidRDefault="00D95FF8" w:rsidP="00D95FF8">
      <w:pPr>
        <w:rPr>
          <w:lang w:val="en-NZ"/>
        </w:rPr>
      </w:pPr>
      <w:r w:rsidRPr="00DB4CC5">
        <w:rPr>
          <w:lang w:val="en-NZ"/>
        </w:rPr>
        <w:t xml:space="preserve">That the submission be </w:t>
      </w:r>
      <w:r w:rsidR="009345FB">
        <w:rPr>
          <w:lang w:val="en-NZ"/>
        </w:rPr>
        <w:t>declined.</w:t>
      </w:r>
    </w:p>
    <w:p w:rsidR="009345FB" w:rsidRPr="00DB4CC5" w:rsidRDefault="009345FB" w:rsidP="009345FB">
      <w:pPr>
        <w:pBdr>
          <w:bottom w:val="single" w:sz="4" w:space="1" w:color="auto"/>
        </w:pBdr>
        <w:rPr>
          <w:lang w:val="en-NZ"/>
        </w:rPr>
      </w:pPr>
    </w:p>
    <w:p w:rsidR="009345FB" w:rsidRDefault="009345FB" w:rsidP="009345FB">
      <w:pPr>
        <w:rPr>
          <w:lang w:val="en-NZ"/>
        </w:rPr>
      </w:pPr>
    </w:p>
    <w:p w:rsidR="007E7996" w:rsidRPr="00DB4CC5" w:rsidRDefault="007E7996" w:rsidP="009345FB">
      <w:pPr>
        <w:rPr>
          <w:lang w:val="en-NZ"/>
        </w:rPr>
      </w:pPr>
    </w:p>
    <w:p w:rsidR="009345FB" w:rsidRPr="00DB4CC5" w:rsidRDefault="009345FB" w:rsidP="009345FB">
      <w:pPr>
        <w:pStyle w:val="Heading5"/>
        <w:ind w:left="794" w:hanging="794"/>
        <w:rPr>
          <w:lang w:val="en-NZ"/>
        </w:rPr>
      </w:pPr>
      <w:bookmarkStart w:id="63" w:name="_Toc432411951"/>
      <w:r w:rsidRPr="00DB4CC5">
        <w:rPr>
          <w:lang w:val="en-NZ"/>
        </w:rPr>
        <w:t>Issue:</w:t>
      </w:r>
      <w:r w:rsidRPr="00DB4CC5">
        <w:rPr>
          <w:lang w:val="en-NZ"/>
        </w:rPr>
        <w:tab/>
      </w:r>
      <w:r>
        <w:rPr>
          <w:lang w:val="en-NZ"/>
        </w:rPr>
        <w:t>Alignment with other provisions in</w:t>
      </w:r>
      <w:r w:rsidR="00EC203D">
        <w:rPr>
          <w:lang w:val="en-NZ"/>
        </w:rPr>
        <w:t xml:space="preserve"> subpart</w:t>
      </w:r>
      <w:r>
        <w:rPr>
          <w:lang w:val="en-NZ"/>
        </w:rPr>
        <w:t xml:space="preserve"> FC</w:t>
      </w:r>
      <w:bookmarkEnd w:id="63"/>
    </w:p>
    <w:p w:rsidR="009345FB" w:rsidRPr="00DB4CC5" w:rsidRDefault="009345FB" w:rsidP="009345FB">
      <w:pPr>
        <w:rPr>
          <w:lang w:val="en-NZ"/>
        </w:rPr>
      </w:pPr>
    </w:p>
    <w:p w:rsidR="009345FB" w:rsidRPr="00DB4CC5" w:rsidRDefault="009345FB" w:rsidP="009345FB">
      <w:pPr>
        <w:rPr>
          <w:lang w:val="en-NZ"/>
        </w:rPr>
      </w:pPr>
    </w:p>
    <w:p w:rsidR="009345FB" w:rsidRPr="00DB4CC5" w:rsidRDefault="009345FB" w:rsidP="009345FB">
      <w:pPr>
        <w:pStyle w:val="Heading2"/>
        <w:rPr>
          <w:lang w:val="en-NZ"/>
        </w:rPr>
      </w:pPr>
      <w:r w:rsidRPr="00DB4CC5">
        <w:rPr>
          <w:lang w:val="en-NZ"/>
        </w:rPr>
        <w:t>Submission</w:t>
      </w:r>
    </w:p>
    <w:p w:rsidR="009345FB" w:rsidRPr="00DB4CC5" w:rsidRDefault="009345FB" w:rsidP="009345FB">
      <w:pPr>
        <w:pStyle w:val="Heading4"/>
        <w:rPr>
          <w:lang w:val="en-NZ"/>
        </w:rPr>
      </w:pPr>
      <w:r>
        <w:rPr>
          <w:lang w:val="en-NZ"/>
        </w:rPr>
        <w:t>(EY)</w:t>
      </w:r>
    </w:p>
    <w:p w:rsidR="009345FB" w:rsidRDefault="009345FB" w:rsidP="009345FB">
      <w:pPr>
        <w:rPr>
          <w:lang w:val="en-NZ"/>
        </w:rPr>
      </w:pPr>
    </w:p>
    <w:p w:rsidR="009345FB" w:rsidRDefault="009345FB" w:rsidP="009345FB">
      <w:pPr>
        <w:rPr>
          <w:lang w:val="en-NZ"/>
        </w:rPr>
      </w:pPr>
      <w:r>
        <w:rPr>
          <w:lang w:val="en-NZ"/>
        </w:rPr>
        <w:t>If the above submission is not accepted, the interaction of all of the provisions in subpart FC should be reviewed, with appropriate amendments included if necessary to ensure there is no inconsistency, confusion or anomalous outcomes.</w:t>
      </w:r>
    </w:p>
    <w:p w:rsidR="009345FB" w:rsidRPr="00DB4CC5" w:rsidRDefault="009345FB" w:rsidP="009345FB">
      <w:pPr>
        <w:rPr>
          <w:lang w:val="en-NZ"/>
        </w:rPr>
      </w:pPr>
    </w:p>
    <w:p w:rsidR="009345FB" w:rsidRPr="00DB4CC5" w:rsidRDefault="009345FB" w:rsidP="009345FB">
      <w:pPr>
        <w:pStyle w:val="Heading2"/>
        <w:rPr>
          <w:lang w:val="en-NZ"/>
        </w:rPr>
      </w:pPr>
      <w:r w:rsidRPr="00DB4CC5">
        <w:rPr>
          <w:lang w:val="en-NZ"/>
        </w:rPr>
        <w:t>Comment</w:t>
      </w:r>
    </w:p>
    <w:p w:rsidR="009345FB" w:rsidRPr="00DB4CC5" w:rsidRDefault="009345FB" w:rsidP="009345FB">
      <w:pPr>
        <w:rPr>
          <w:lang w:val="en-NZ"/>
        </w:rPr>
      </w:pPr>
    </w:p>
    <w:p w:rsidR="009345FB" w:rsidRPr="00DB4CC5" w:rsidRDefault="009345FB" w:rsidP="009345FB">
      <w:pPr>
        <w:rPr>
          <w:lang w:val="en-NZ"/>
        </w:rPr>
      </w:pPr>
      <w:r>
        <w:rPr>
          <w:lang w:val="en-NZ"/>
        </w:rPr>
        <w:t xml:space="preserve">We have reviewed </w:t>
      </w:r>
      <w:r w:rsidR="00A63235">
        <w:rPr>
          <w:lang w:val="en-NZ"/>
        </w:rPr>
        <w:t>the provisions in subpart FC and have identified</w:t>
      </w:r>
      <w:r w:rsidR="00222296">
        <w:rPr>
          <w:lang w:val="en-NZ"/>
        </w:rPr>
        <w:t xml:space="preserve"> it should be clarified that section</w:t>
      </w:r>
      <w:r w:rsidR="00BB660B">
        <w:rPr>
          <w:lang w:val="en-NZ"/>
        </w:rPr>
        <w:t xml:space="preserve"> FC 9 overrides sections FC 3 and FC 4.</w:t>
      </w:r>
    </w:p>
    <w:p w:rsidR="009345FB" w:rsidRPr="00DB4CC5" w:rsidRDefault="009345FB" w:rsidP="009345FB">
      <w:pPr>
        <w:rPr>
          <w:lang w:val="en-NZ"/>
        </w:rPr>
      </w:pPr>
    </w:p>
    <w:p w:rsidR="009345FB" w:rsidRPr="00DB4CC5" w:rsidRDefault="009345FB" w:rsidP="009345FB">
      <w:pPr>
        <w:pStyle w:val="Heading2"/>
        <w:rPr>
          <w:lang w:val="en-NZ"/>
        </w:rPr>
      </w:pPr>
      <w:r w:rsidRPr="00DB4CC5">
        <w:rPr>
          <w:lang w:val="en-NZ"/>
        </w:rPr>
        <w:t>Recommendation</w:t>
      </w:r>
    </w:p>
    <w:p w:rsidR="009345FB" w:rsidRPr="00DB4CC5" w:rsidRDefault="009345FB" w:rsidP="009345FB">
      <w:pPr>
        <w:rPr>
          <w:lang w:val="en-NZ"/>
        </w:rPr>
      </w:pPr>
    </w:p>
    <w:p w:rsidR="009345FB" w:rsidRPr="00DB4CC5" w:rsidRDefault="009345FB" w:rsidP="009345FB">
      <w:pPr>
        <w:rPr>
          <w:lang w:val="en-NZ"/>
        </w:rPr>
      </w:pPr>
      <w:r w:rsidRPr="00DB4CC5">
        <w:rPr>
          <w:lang w:val="en-NZ"/>
        </w:rPr>
        <w:t xml:space="preserve">That the submission be </w:t>
      </w:r>
      <w:r>
        <w:rPr>
          <w:lang w:val="en-NZ"/>
        </w:rPr>
        <w:t>accepted</w:t>
      </w:r>
      <w:r w:rsidR="00FA5F4E">
        <w:rPr>
          <w:lang w:val="en-NZ"/>
        </w:rPr>
        <w:t>,</w:t>
      </w:r>
      <w:r w:rsidR="00A63235">
        <w:rPr>
          <w:lang w:val="en-NZ"/>
        </w:rPr>
        <w:t xml:space="preserve"> subject to </w:t>
      </w:r>
      <w:r w:rsidR="004543B5">
        <w:rPr>
          <w:lang w:val="en-NZ"/>
        </w:rPr>
        <w:t>officials’</w:t>
      </w:r>
      <w:r w:rsidR="00A63235">
        <w:rPr>
          <w:lang w:val="en-NZ"/>
        </w:rPr>
        <w:t xml:space="preserve"> comments</w:t>
      </w:r>
      <w:r>
        <w:rPr>
          <w:lang w:val="en-NZ"/>
        </w:rPr>
        <w:t>.</w:t>
      </w:r>
    </w:p>
    <w:p w:rsidR="00D95FF8" w:rsidRDefault="00D95FF8">
      <w:pPr>
        <w:jc w:val="left"/>
        <w:rPr>
          <w:lang w:val="en-NZ"/>
        </w:rPr>
      </w:pPr>
      <w:r>
        <w:rPr>
          <w:lang w:val="en-NZ"/>
        </w:rPr>
        <w:br w:type="page"/>
      </w:r>
    </w:p>
    <w:p w:rsidR="00D95FF8" w:rsidRPr="00DB4CC5" w:rsidRDefault="00D95FF8" w:rsidP="00D95FF8">
      <w:pPr>
        <w:pStyle w:val="Heading1"/>
      </w:pPr>
      <w:bookmarkStart w:id="64" w:name="_Toc432411952"/>
      <w:r>
        <w:t>Relationship property</w:t>
      </w:r>
      <w:bookmarkEnd w:id="64"/>
    </w:p>
    <w:p w:rsidR="00D95FF8" w:rsidRPr="00DB4CC5" w:rsidRDefault="00D95FF8" w:rsidP="00D95FF8">
      <w:pPr>
        <w:rPr>
          <w:lang w:val="en-NZ"/>
        </w:rPr>
      </w:pPr>
    </w:p>
    <w:p w:rsidR="00D95FF8" w:rsidRDefault="00D95FF8" w:rsidP="00D95FF8">
      <w:pPr>
        <w:pStyle w:val="Heading3"/>
        <w:rPr>
          <w:lang w:val="en-NZ"/>
        </w:rPr>
      </w:pPr>
      <w:r>
        <w:rPr>
          <w:lang w:val="en-NZ"/>
        </w:rPr>
        <w:t>Clause</w:t>
      </w:r>
      <w:r w:rsidR="007C44A0">
        <w:rPr>
          <w:lang w:val="en-NZ"/>
        </w:rPr>
        <w:t>s 10, 10B</w:t>
      </w:r>
      <w:r w:rsidR="004543B5">
        <w:rPr>
          <w:lang w:val="en-NZ"/>
        </w:rPr>
        <w:t xml:space="preserve"> and 10C</w:t>
      </w:r>
      <w:r>
        <w:rPr>
          <w:lang w:val="en-NZ"/>
        </w:rPr>
        <w:t xml:space="preserve"> </w:t>
      </w:r>
    </w:p>
    <w:p w:rsidR="00D95FF8" w:rsidRDefault="00D95FF8" w:rsidP="00D95FF8">
      <w:pPr>
        <w:rPr>
          <w:lang w:val="en-NZ"/>
        </w:rPr>
      </w:pPr>
    </w:p>
    <w:p w:rsidR="00D95FF8" w:rsidRPr="00DB4CC5" w:rsidRDefault="00D95FF8" w:rsidP="00D95FF8">
      <w:pPr>
        <w:rPr>
          <w:lang w:val="en-NZ"/>
        </w:rPr>
      </w:pPr>
    </w:p>
    <w:p w:rsidR="00D95FF8" w:rsidRPr="00DB4CC5" w:rsidRDefault="00D95FF8" w:rsidP="00D95FF8">
      <w:pPr>
        <w:pStyle w:val="Heading5"/>
        <w:ind w:left="794" w:hanging="794"/>
        <w:rPr>
          <w:lang w:val="en-NZ"/>
        </w:rPr>
      </w:pPr>
      <w:bookmarkStart w:id="65" w:name="_Toc432411953"/>
      <w:r w:rsidRPr="00DB4CC5">
        <w:rPr>
          <w:lang w:val="en-NZ"/>
        </w:rPr>
        <w:t>Issue:</w:t>
      </w:r>
      <w:r w:rsidRPr="00DB4CC5">
        <w:rPr>
          <w:lang w:val="en-NZ"/>
        </w:rPr>
        <w:tab/>
      </w:r>
      <w:r w:rsidR="004733A7">
        <w:rPr>
          <w:lang w:val="en-NZ"/>
        </w:rPr>
        <w:t>Alignment with inheritance</w:t>
      </w:r>
      <w:bookmarkEnd w:id="65"/>
    </w:p>
    <w:p w:rsidR="00D95FF8" w:rsidRPr="00DB4CC5" w:rsidRDefault="00D95FF8" w:rsidP="00D95FF8">
      <w:pPr>
        <w:rPr>
          <w:lang w:val="en-NZ"/>
        </w:rPr>
      </w:pPr>
    </w:p>
    <w:p w:rsidR="00D95FF8" w:rsidRPr="00DB4CC5" w:rsidRDefault="00D95FF8" w:rsidP="00D95FF8">
      <w:pPr>
        <w:rPr>
          <w:lang w:val="en-NZ"/>
        </w:rPr>
      </w:pPr>
    </w:p>
    <w:p w:rsidR="00D95FF8" w:rsidRPr="00DB4CC5" w:rsidRDefault="00D95FF8" w:rsidP="00D95FF8">
      <w:pPr>
        <w:pStyle w:val="Heading2"/>
        <w:rPr>
          <w:lang w:val="en-NZ"/>
        </w:rPr>
      </w:pPr>
      <w:r w:rsidRPr="00DB4CC5">
        <w:rPr>
          <w:lang w:val="en-NZ"/>
        </w:rPr>
        <w:t>Submission</w:t>
      </w:r>
    </w:p>
    <w:p w:rsidR="00D95FF8" w:rsidRPr="00DB4CC5" w:rsidRDefault="00D95FF8" w:rsidP="00D95FF8">
      <w:pPr>
        <w:pStyle w:val="Heading4"/>
        <w:rPr>
          <w:lang w:val="en-NZ"/>
        </w:rPr>
      </w:pPr>
      <w:r w:rsidRPr="00DB4CC5">
        <w:rPr>
          <w:lang w:val="en-NZ"/>
        </w:rPr>
        <w:t>(</w:t>
      </w:r>
      <w:r w:rsidR="00D45699">
        <w:rPr>
          <w:lang w:val="en-NZ"/>
        </w:rPr>
        <w:t>KPMG</w:t>
      </w:r>
      <w:r w:rsidRPr="00DB4CC5">
        <w:rPr>
          <w:lang w:val="en-NZ"/>
        </w:rPr>
        <w:t>)</w:t>
      </w:r>
    </w:p>
    <w:p w:rsidR="00D95FF8" w:rsidRPr="00DB4CC5" w:rsidRDefault="00D95FF8" w:rsidP="00D95FF8">
      <w:pPr>
        <w:tabs>
          <w:tab w:val="left" w:pos="5295"/>
        </w:tabs>
        <w:rPr>
          <w:lang w:val="en-NZ"/>
        </w:rPr>
      </w:pPr>
    </w:p>
    <w:p w:rsidR="00D95FF8" w:rsidRDefault="0027111D" w:rsidP="00D95FF8">
      <w:pPr>
        <w:rPr>
          <w:lang w:val="en-NZ"/>
        </w:rPr>
      </w:pPr>
      <w:r>
        <w:rPr>
          <w:lang w:val="en-NZ"/>
        </w:rPr>
        <w:t>There is no rationale for distinguishing between the tax treatments of subsequent sales of inherited and relationship property</w:t>
      </w:r>
      <w:r w:rsidR="00F16E3E">
        <w:rPr>
          <w:lang w:val="en-NZ"/>
        </w:rPr>
        <w:t>.  T</w:t>
      </w:r>
      <w:r>
        <w:rPr>
          <w:lang w:val="en-NZ"/>
        </w:rPr>
        <w:t>he latter will be subject to the bright-line test, whereas the former will not.</w:t>
      </w:r>
    </w:p>
    <w:p w:rsidR="0027111D" w:rsidRDefault="0027111D" w:rsidP="00D95FF8">
      <w:pPr>
        <w:rPr>
          <w:lang w:val="en-NZ"/>
        </w:rPr>
      </w:pPr>
    </w:p>
    <w:p w:rsidR="0027111D" w:rsidRDefault="0027111D" w:rsidP="00D95FF8">
      <w:pPr>
        <w:rPr>
          <w:lang w:val="en-NZ"/>
        </w:rPr>
      </w:pPr>
      <w:r>
        <w:rPr>
          <w:lang w:val="en-NZ"/>
        </w:rPr>
        <w:t>The justification given by officials was that there is more opportunity to negotiate the property that a transferee receives under a relationship property agreement</w:t>
      </w:r>
      <w:r w:rsidR="00F16E3E">
        <w:rPr>
          <w:lang w:val="en-NZ"/>
        </w:rPr>
        <w:t>.  T</w:t>
      </w:r>
      <w:r>
        <w:rPr>
          <w:lang w:val="en-NZ"/>
        </w:rPr>
        <w:t>his assumes that the transfer will be amicable, which will not always be the case.</w:t>
      </w:r>
    </w:p>
    <w:p w:rsidR="0027111D" w:rsidRDefault="0027111D" w:rsidP="00D95FF8">
      <w:pPr>
        <w:rPr>
          <w:lang w:val="en-NZ"/>
        </w:rPr>
      </w:pPr>
    </w:p>
    <w:p w:rsidR="0027111D" w:rsidRPr="00DB4CC5" w:rsidRDefault="0027111D" w:rsidP="00D95FF8">
      <w:pPr>
        <w:rPr>
          <w:lang w:val="en-NZ"/>
        </w:rPr>
      </w:pPr>
      <w:r>
        <w:rPr>
          <w:lang w:val="en-NZ"/>
        </w:rPr>
        <w:t>Further, if one of the reasons for applying the bright-line test to subsequent disposals of relationship property is that it can be presumed that both parties had a joint purpose or intention when acquired, then the start date should be the original purchase date.</w:t>
      </w:r>
    </w:p>
    <w:p w:rsidR="00D95FF8" w:rsidRPr="00DB4CC5" w:rsidRDefault="00D95FF8" w:rsidP="00D95FF8">
      <w:pPr>
        <w:rPr>
          <w:lang w:val="en-NZ"/>
        </w:rPr>
      </w:pPr>
    </w:p>
    <w:p w:rsidR="00D95FF8" w:rsidRPr="00DB4CC5" w:rsidRDefault="00D95FF8" w:rsidP="00D95FF8">
      <w:pPr>
        <w:pStyle w:val="Heading2"/>
        <w:rPr>
          <w:lang w:val="en-NZ"/>
        </w:rPr>
      </w:pPr>
      <w:r w:rsidRPr="00DB4CC5">
        <w:rPr>
          <w:lang w:val="en-NZ"/>
        </w:rPr>
        <w:t>Comment</w:t>
      </w:r>
    </w:p>
    <w:p w:rsidR="00D95FF8" w:rsidRPr="00DB4CC5" w:rsidRDefault="00D95FF8" w:rsidP="00D95FF8">
      <w:pPr>
        <w:rPr>
          <w:lang w:val="en-NZ"/>
        </w:rPr>
      </w:pPr>
    </w:p>
    <w:p w:rsidR="00D95FF8" w:rsidRDefault="00B4337D" w:rsidP="00D95FF8">
      <w:pPr>
        <w:rPr>
          <w:lang w:val="en-NZ"/>
        </w:rPr>
      </w:pPr>
      <w:r>
        <w:rPr>
          <w:lang w:val="en-NZ"/>
        </w:rPr>
        <w:t xml:space="preserve">It is proposed that inherited property </w:t>
      </w:r>
      <w:r w:rsidR="00F16E3E">
        <w:rPr>
          <w:lang w:val="en-NZ"/>
        </w:rPr>
        <w:t>be</w:t>
      </w:r>
      <w:r>
        <w:rPr>
          <w:lang w:val="en-NZ"/>
        </w:rPr>
        <w:t xml:space="preserve"> excluded from the bright-line test because in the case of inheritance the person did not intend to acquire the property.</w:t>
      </w:r>
    </w:p>
    <w:p w:rsidR="00B4337D" w:rsidRDefault="00B4337D" w:rsidP="00D95FF8">
      <w:pPr>
        <w:rPr>
          <w:lang w:val="en-NZ"/>
        </w:rPr>
      </w:pPr>
    </w:p>
    <w:p w:rsidR="00D95FF8" w:rsidRDefault="00B4337D" w:rsidP="00D95FF8">
      <w:pPr>
        <w:rPr>
          <w:lang w:val="en-NZ"/>
        </w:rPr>
      </w:pPr>
      <w:r>
        <w:rPr>
          <w:lang w:val="en-NZ"/>
        </w:rPr>
        <w:t>The bright-line bill proposes that the exception for property transferred under a relationship property agreement is narrower</w:t>
      </w:r>
      <w:r w:rsidR="00F16E3E">
        <w:rPr>
          <w:lang w:val="en-NZ"/>
        </w:rPr>
        <w:t>.  T</w:t>
      </w:r>
      <w:r>
        <w:rPr>
          <w:lang w:val="en-NZ"/>
        </w:rPr>
        <w:t>his is because:</w:t>
      </w:r>
    </w:p>
    <w:p w:rsidR="007E7996" w:rsidRDefault="007E7996" w:rsidP="00D95FF8">
      <w:pPr>
        <w:rPr>
          <w:lang w:val="en-NZ"/>
        </w:rPr>
      </w:pPr>
    </w:p>
    <w:p w:rsidR="00B4337D" w:rsidRDefault="00B4337D" w:rsidP="00DC6603">
      <w:pPr>
        <w:pStyle w:val="Bullets"/>
        <w:tabs>
          <w:tab w:val="clear" w:pos="851"/>
          <w:tab w:val="num" w:pos="567"/>
        </w:tabs>
        <w:spacing w:after="140"/>
        <w:ind w:left="567" w:hanging="567"/>
        <w:jc w:val="both"/>
        <w:rPr>
          <w:lang w:val="en-NZ"/>
        </w:rPr>
      </w:pPr>
      <w:r>
        <w:rPr>
          <w:lang w:val="en-NZ"/>
        </w:rPr>
        <w:t>In most cases property subject to the bright-line would have been acquired during the relationship</w:t>
      </w:r>
      <w:r w:rsidR="00F16E3E">
        <w:rPr>
          <w:lang w:val="en-NZ"/>
        </w:rPr>
        <w:t>.  T</w:t>
      </w:r>
      <w:r>
        <w:rPr>
          <w:lang w:val="en-NZ"/>
        </w:rPr>
        <w:t>his means we can presume that the two parties had a joint intention in acquiring the property.</w:t>
      </w:r>
    </w:p>
    <w:p w:rsidR="00B4337D" w:rsidRPr="00B4337D" w:rsidRDefault="00B4337D" w:rsidP="00DC6603">
      <w:pPr>
        <w:pStyle w:val="Bullets"/>
        <w:tabs>
          <w:tab w:val="clear" w:pos="851"/>
          <w:tab w:val="num" w:pos="567"/>
        </w:tabs>
        <w:ind w:left="567" w:hanging="567"/>
        <w:jc w:val="both"/>
        <w:rPr>
          <w:lang w:val="en-NZ"/>
        </w:rPr>
      </w:pPr>
      <w:r>
        <w:rPr>
          <w:lang w:val="en-NZ"/>
        </w:rPr>
        <w:t>Unlike inheritance, the parties have scope to negotiate the transfer of the property.</w:t>
      </w:r>
    </w:p>
    <w:p w:rsidR="00B4337D" w:rsidRPr="00DB4CC5" w:rsidRDefault="00B4337D" w:rsidP="00D95FF8">
      <w:pPr>
        <w:rPr>
          <w:lang w:val="en-NZ"/>
        </w:rPr>
      </w:pPr>
    </w:p>
    <w:p w:rsidR="00D95FF8" w:rsidRPr="00DB4CC5" w:rsidRDefault="00D95FF8" w:rsidP="00D95FF8">
      <w:pPr>
        <w:pStyle w:val="Heading2"/>
        <w:rPr>
          <w:lang w:val="en-NZ"/>
        </w:rPr>
      </w:pPr>
      <w:r w:rsidRPr="00DB4CC5">
        <w:rPr>
          <w:lang w:val="en-NZ"/>
        </w:rPr>
        <w:t>Recommendation</w:t>
      </w:r>
    </w:p>
    <w:p w:rsidR="00D95FF8" w:rsidRPr="00DB4CC5" w:rsidRDefault="00D95FF8" w:rsidP="00D95FF8">
      <w:pPr>
        <w:rPr>
          <w:lang w:val="en-NZ"/>
        </w:rPr>
      </w:pPr>
    </w:p>
    <w:p w:rsidR="00D95FF8" w:rsidRPr="00DB4CC5" w:rsidRDefault="00D95FF8" w:rsidP="00D95FF8">
      <w:pPr>
        <w:rPr>
          <w:lang w:val="en-NZ"/>
        </w:rPr>
      </w:pPr>
      <w:r w:rsidRPr="00DB4CC5">
        <w:rPr>
          <w:lang w:val="en-NZ"/>
        </w:rPr>
        <w:t xml:space="preserve">That the submission be </w:t>
      </w:r>
      <w:r w:rsidR="004543B5">
        <w:rPr>
          <w:lang w:val="en-NZ"/>
        </w:rPr>
        <w:t>declined.</w:t>
      </w:r>
    </w:p>
    <w:p w:rsidR="002C02A3" w:rsidRPr="00DB4CC5" w:rsidRDefault="002C02A3" w:rsidP="002C02A3">
      <w:pPr>
        <w:pBdr>
          <w:bottom w:val="single" w:sz="4" w:space="1" w:color="auto"/>
        </w:pBdr>
        <w:rPr>
          <w:lang w:val="en-NZ"/>
        </w:rPr>
      </w:pPr>
    </w:p>
    <w:p w:rsidR="007E7996" w:rsidRDefault="007E7996" w:rsidP="002C02A3">
      <w:pPr>
        <w:rPr>
          <w:lang w:val="en-NZ"/>
        </w:rPr>
      </w:pPr>
    </w:p>
    <w:p w:rsidR="00892E85" w:rsidRDefault="00892E85">
      <w:pPr>
        <w:jc w:val="left"/>
        <w:rPr>
          <w:b/>
          <w:sz w:val="26"/>
          <w:lang w:val="en-NZ"/>
        </w:rPr>
      </w:pPr>
      <w:r>
        <w:rPr>
          <w:lang w:val="en-NZ"/>
        </w:rPr>
        <w:br w:type="page"/>
      </w:r>
    </w:p>
    <w:p w:rsidR="002C02A3" w:rsidRPr="00DB4CC5" w:rsidRDefault="002C02A3" w:rsidP="002C02A3">
      <w:pPr>
        <w:pStyle w:val="Heading5"/>
        <w:ind w:left="794" w:hanging="794"/>
        <w:rPr>
          <w:lang w:val="en-NZ"/>
        </w:rPr>
      </w:pPr>
      <w:bookmarkStart w:id="66" w:name="_Toc432411954"/>
      <w:r w:rsidRPr="00DB4CC5">
        <w:rPr>
          <w:lang w:val="en-NZ"/>
        </w:rPr>
        <w:t>Issue:</w:t>
      </w:r>
      <w:r w:rsidRPr="00DB4CC5">
        <w:rPr>
          <w:lang w:val="en-NZ"/>
        </w:rPr>
        <w:tab/>
      </w:r>
      <w:r>
        <w:rPr>
          <w:lang w:val="en-NZ"/>
        </w:rPr>
        <w:t>Use of term “date of acquisition</w:t>
      </w:r>
      <w:r w:rsidR="00B13139">
        <w:rPr>
          <w:lang w:val="en-NZ"/>
        </w:rPr>
        <w:t>”</w:t>
      </w:r>
      <w:bookmarkEnd w:id="66"/>
    </w:p>
    <w:p w:rsidR="002C02A3" w:rsidRPr="00DB4CC5" w:rsidRDefault="002C02A3" w:rsidP="002C02A3">
      <w:pPr>
        <w:rPr>
          <w:lang w:val="en-NZ"/>
        </w:rPr>
      </w:pPr>
    </w:p>
    <w:p w:rsidR="002C02A3" w:rsidRPr="00DB4CC5" w:rsidRDefault="002C02A3" w:rsidP="002C02A3">
      <w:pPr>
        <w:rPr>
          <w:lang w:val="en-NZ"/>
        </w:rPr>
      </w:pPr>
    </w:p>
    <w:p w:rsidR="002C02A3" w:rsidRPr="00DB4CC5" w:rsidRDefault="002C02A3" w:rsidP="002C02A3">
      <w:pPr>
        <w:pStyle w:val="Heading2"/>
        <w:rPr>
          <w:lang w:val="en-NZ"/>
        </w:rPr>
      </w:pPr>
      <w:r w:rsidRPr="00DB4CC5">
        <w:rPr>
          <w:lang w:val="en-NZ"/>
        </w:rPr>
        <w:t>Submission</w:t>
      </w:r>
    </w:p>
    <w:p w:rsidR="002C02A3" w:rsidRPr="00DB4CC5" w:rsidRDefault="00B13139" w:rsidP="002C02A3">
      <w:pPr>
        <w:pStyle w:val="Heading4"/>
        <w:rPr>
          <w:lang w:val="en-NZ"/>
        </w:rPr>
      </w:pPr>
      <w:r>
        <w:rPr>
          <w:lang w:val="en-NZ"/>
        </w:rPr>
        <w:t>(EY)</w:t>
      </w:r>
    </w:p>
    <w:p w:rsidR="002C02A3" w:rsidRDefault="002C02A3" w:rsidP="002C02A3">
      <w:pPr>
        <w:tabs>
          <w:tab w:val="left" w:pos="5295"/>
        </w:tabs>
        <w:rPr>
          <w:lang w:val="en-NZ"/>
        </w:rPr>
      </w:pPr>
    </w:p>
    <w:p w:rsidR="00B13139" w:rsidRPr="00DB4CC5" w:rsidRDefault="007C44A0" w:rsidP="002C02A3">
      <w:pPr>
        <w:tabs>
          <w:tab w:val="left" w:pos="5295"/>
        </w:tabs>
        <w:rPr>
          <w:lang w:val="en-NZ"/>
        </w:rPr>
      </w:pPr>
      <w:r>
        <w:rPr>
          <w:lang w:val="en-NZ"/>
        </w:rPr>
        <w:t xml:space="preserve">Section </w:t>
      </w:r>
      <w:r w:rsidR="00B13139">
        <w:rPr>
          <w:lang w:val="en-NZ"/>
        </w:rPr>
        <w:t>FB 3A should be revised to remove the reference to “date of acquisition”</w:t>
      </w:r>
      <w:r w:rsidR="00F16E3E">
        <w:rPr>
          <w:lang w:val="en-NZ"/>
        </w:rPr>
        <w:t>.  T</w:t>
      </w:r>
      <w:r w:rsidR="00B13139">
        <w:rPr>
          <w:lang w:val="en-NZ"/>
        </w:rPr>
        <w:t>his should be reworded.</w:t>
      </w:r>
    </w:p>
    <w:p w:rsidR="002C02A3" w:rsidRPr="00DB4CC5" w:rsidRDefault="002C02A3" w:rsidP="002C02A3">
      <w:pPr>
        <w:rPr>
          <w:lang w:val="en-NZ"/>
        </w:rPr>
      </w:pPr>
    </w:p>
    <w:p w:rsidR="002C02A3" w:rsidRPr="00DB4CC5" w:rsidRDefault="002C02A3" w:rsidP="002C02A3">
      <w:pPr>
        <w:pStyle w:val="Heading2"/>
        <w:rPr>
          <w:lang w:val="en-NZ"/>
        </w:rPr>
      </w:pPr>
      <w:r w:rsidRPr="00DB4CC5">
        <w:rPr>
          <w:lang w:val="en-NZ"/>
        </w:rPr>
        <w:t>Comment</w:t>
      </w:r>
    </w:p>
    <w:p w:rsidR="002C02A3" w:rsidRPr="00DB4CC5" w:rsidRDefault="002C02A3" w:rsidP="002C02A3">
      <w:pPr>
        <w:rPr>
          <w:lang w:val="en-NZ"/>
        </w:rPr>
      </w:pPr>
    </w:p>
    <w:p w:rsidR="002C02A3" w:rsidRPr="00DB4CC5" w:rsidRDefault="00B13139" w:rsidP="002C02A3">
      <w:pPr>
        <w:rPr>
          <w:lang w:val="en-NZ"/>
        </w:rPr>
      </w:pPr>
      <w:r>
        <w:rPr>
          <w:lang w:val="en-NZ"/>
        </w:rPr>
        <w:t>We agree with the submission.</w:t>
      </w:r>
    </w:p>
    <w:p w:rsidR="002C02A3" w:rsidRPr="00DB4CC5" w:rsidRDefault="002C02A3" w:rsidP="002C02A3">
      <w:pPr>
        <w:rPr>
          <w:lang w:val="en-NZ"/>
        </w:rPr>
      </w:pPr>
    </w:p>
    <w:p w:rsidR="002C02A3" w:rsidRPr="00DB4CC5" w:rsidRDefault="002C02A3" w:rsidP="002C02A3">
      <w:pPr>
        <w:pStyle w:val="Heading2"/>
        <w:rPr>
          <w:lang w:val="en-NZ"/>
        </w:rPr>
      </w:pPr>
      <w:r w:rsidRPr="00DB4CC5">
        <w:rPr>
          <w:lang w:val="en-NZ"/>
        </w:rPr>
        <w:t>Recommendation</w:t>
      </w:r>
    </w:p>
    <w:p w:rsidR="002C02A3" w:rsidRPr="00DB4CC5" w:rsidRDefault="002C02A3" w:rsidP="002C02A3">
      <w:pPr>
        <w:rPr>
          <w:lang w:val="en-NZ"/>
        </w:rPr>
      </w:pPr>
    </w:p>
    <w:p w:rsidR="002C02A3" w:rsidRPr="00DB4CC5" w:rsidRDefault="002C02A3" w:rsidP="002C02A3">
      <w:pPr>
        <w:rPr>
          <w:lang w:val="en-NZ"/>
        </w:rPr>
      </w:pPr>
      <w:r w:rsidRPr="00DB4CC5">
        <w:rPr>
          <w:lang w:val="en-NZ"/>
        </w:rPr>
        <w:t xml:space="preserve">That the submission be </w:t>
      </w:r>
      <w:r w:rsidR="00B13139">
        <w:rPr>
          <w:lang w:val="en-NZ"/>
        </w:rPr>
        <w:t>accepted.</w:t>
      </w:r>
    </w:p>
    <w:p w:rsidR="002C02A3" w:rsidRPr="00DB4CC5" w:rsidRDefault="002C02A3" w:rsidP="002C02A3">
      <w:pPr>
        <w:pBdr>
          <w:bottom w:val="single" w:sz="4" w:space="1" w:color="auto"/>
        </w:pBdr>
        <w:rPr>
          <w:lang w:val="en-NZ"/>
        </w:rPr>
      </w:pPr>
    </w:p>
    <w:p w:rsidR="00D95FF8" w:rsidRDefault="00D95FF8">
      <w:pPr>
        <w:jc w:val="left"/>
        <w:rPr>
          <w:lang w:val="en-NZ"/>
        </w:rPr>
      </w:pPr>
      <w:r>
        <w:rPr>
          <w:lang w:val="en-NZ"/>
        </w:rPr>
        <w:br w:type="page"/>
      </w:r>
    </w:p>
    <w:p w:rsidR="00D95FF8" w:rsidRPr="00DB4CC5" w:rsidRDefault="00D95FF8" w:rsidP="00D95FF8">
      <w:pPr>
        <w:pStyle w:val="Heading1"/>
      </w:pPr>
      <w:bookmarkStart w:id="67" w:name="_Toc432411955"/>
      <w:r>
        <w:t>Other exceptions</w:t>
      </w:r>
      <w:bookmarkEnd w:id="67"/>
    </w:p>
    <w:p w:rsidR="00D95FF8" w:rsidRDefault="00D95FF8" w:rsidP="00D95FF8">
      <w:pPr>
        <w:rPr>
          <w:lang w:val="en-NZ"/>
        </w:rPr>
      </w:pPr>
    </w:p>
    <w:p w:rsidR="00D95FF8" w:rsidRPr="00DB4CC5" w:rsidRDefault="00D95FF8" w:rsidP="00D95FF8">
      <w:pPr>
        <w:rPr>
          <w:lang w:val="en-NZ"/>
        </w:rPr>
      </w:pPr>
    </w:p>
    <w:p w:rsidR="00D95FF8" w:rsidRPr="00DB4CC5" w:rsidRDefault="00D95FF8" w:rsidP="00D95FF8">
      <w:pPr>
        <w:pStyle w:val="Heading5"/>
        <w:ind w:left="794" w:hanging="794"/>
        <w:rPr>
          <w:lang w:val="en-NZ"/>
        </w:rPr>
      </w:pPr>
      <w:bookmarkStart w:id="68" w:name="_Toc432411956"/>
      <w:r w:rsidRPr="00DB4CC5">
        <w:rPr>
          <w:lang w:val="en-NZ"/>
        </w:rPr>
        <w:t>Issue:</w:t>
      </w:r>
      <w:r w:rsidRPr="00DB4CC5">
        <w:rPr>
          <w:lang w:val="en-NZ"/>
        </w:rPr>
        <w:tab/>
      </w:r>
      <w:r w:rsidR="00312613">
        <w:rPr>
          <w:lang w:val="en-NZ"/>
        </w:rPr>
        <w:t>Exception</w:t>
      </w:r>
      <w:r w:rsidR="000247B6">
        <w:rPr>
          <w:lang w:val="en-NZ"/>
        </w:rPr>
        <w:t>s for circumstances outside</w:t>
      </w:r>
      <w:r w:rsidR="00A3365E">
        <w:rPr>
          <w:lang w:val="en-NZ"/>
        </w:rPr>
        <w:t xml:space="preserve"> seller’s control</w:t>
      </w:r>
      <w:bookmarkEnd w:id="68"/>
    </w:p>
    <w:p w:rsidR="00D95FF8" w:rsidRPr="00DB4CC5" w:rsidRDefault="00D95FF8" w:rsidP="00D95FF8">
      <w:pPr>
        <w:rPr>
          <w:lang w:val="en-NZ"/>
        </w:rPr>
      </w:pPr>
    </w:p>
    <w:p w:rsidR="00D95FF8" w:rsidRPr="00DB4CC5" w:rsidRDefault="00D95FF8" w:rsidP="00D95FF8">
      <w:pPr>
        <w:rPr>
          <w:lang w:val="en-NZ"/>
        </w:rPr>
      </w:pPr>
    </w:p>
    <w:p w:rsidR="00D95FF8" w:rsidRPr="00DB4CC5" w:rsidRDefault="00D95FF8" w:rsidP="00D95FF8">
      <w:pPr>
        <w:pStyle w:val="Heading2"/>
        <w:rPr>
          <w:lang w:val="en-NZ"/>
        </w:rPr>
      </w:pPr>
      <w:r w:rsidRPr="00DB4CC5">
        <w:rPr>
          <w:lang w:val="en-NZ"/>
        </w:rPr>
        <w:t>Submission</w:t>
      </w:r>
    </w:p>
    <w:p w:rsidR="00D95FF8" w:rsidRPr="00DB4CC5" w:rsidRDefault="00312613" w:rsidP="00D95FF8">
      <w:pPr>
        <w:pStyle w:val="Heading4"/>
        <w:rPr>
          <w:lang w:val="en-NZ"/>
        </w:rPr>
      </w:pPr>
      <w:r>
        <w:rPr>
          <w:lang w:val="en-NZ"/>
        </w:rPr>
        <w:t>(New Zealand Property Investors’ Federati</w:t>
      </w:r>
      <w:r w:rsidR="00A3365E">
        <w:rPr>
          <w:lang w:val="en-NZ"/>
        </w:rPr>
        <w:t xml:space="preserve">on </w:t>
      </w:r>
      <w:proofErr w:type="spellStart"/>
      <w:r w:rsidR="00A3365E">
        <w:rPr>
          <w:lang w:val="en-NZ"/>
        </w:rPr>
        <w:t>In</w:t>
      </w:r>
      <w:r w:rsidR="007F2558">
        <w:rPr>
          <w:lang w:val="en-NZ"/>
        </w:rPr>
        <w:t>c</w:t>
      </w:r>
      <w:proofErr w:type="spellEnd"/>
      <w:r w:rsidR="00A3365E">
        <w:rPr>
          <w:lang w:val="en-NZ"/>
        </w:rPr>
        <w:t xml:space="preserve">, Chartered Accountants Australia and New Zealand, EY, </w:t>
      </w:r>
      <w:r w:rsidR="007F2558">
        <w:rPr>
          <w:lang w:val="en-NZ"/>
        </w:rPr>
        <w:t>P</w:t>
      </w:r>
      <w:r w:rsidR="00A3365E">
        <w:rPr>
          <w:lang w:val="en-NZ"/>
        </w:rPr>
        <w:t>w</w:t>
      </w:r>
      <w:r w:rsidR="007F2558">
        <w:rPr>
          <w:lang w:val="en-NZ"/>
        </w:rPr>
        <w:t>C</w:t>
      </w:r>
      <w:r w:rsidR="00A3365E">
        <w:rPr>
          <w:lang w:val="en-NZ"/>
        </w:rPr>
        <w:t xml:space="preserve">, KPMG, </w:t>
      </w:r>
      <w:proofErr w:type="spellStart"/>
      <w:r w:rsidR="00A3365E">
        <w:rPr>
          <w:lang w:val="en-NZ"/>
        </w:rPr>
        <w:t>nsaTax</w:t>
      </w:r>
      <w:proofErr w:type="spellEnd"/>
      <w:r w:rsidR="00A3365E">
        <w:rPr>
          <w:lang w:val="en-NZ"/>
        </w:rPr>
        <w:t>, Chapman Tripp, New Zealand Law Society</w:t>
      </w:r>
      <w:r w:rsidR="00F83510">
        <w:rPr>
          <w:lang w:val="en-NZ"/>
        </w:rPr>
        <w:t>)</w:t>
      </w:r>
    </w:p>
    <w:p w:rsidR="00D95FF8" w:rsidRPr="00DB4CC5" w:rsidRDefault="00D95FF8" w:rsidP="00D95FF8">
      <w:pPr>
        <w:tabs>
          <w:tab w:val="left" w:pos="5295"/>
        </w:tabs>
        <w:rPr>
          <w:lang w:val="en-NZ"/>
        </w:rPr>
      </w:pPr>
    </w:p>
    <w:p w:rsidR="00A3365E" w:rsidRDefault="00A3365E" w:rsidP="00D95FF8">
      <w:pPr>
        <w:rPr>
          <w:lang w:val="en-NZ"/>
        </w:rPr>
      </w:pPr>
      <w:r>
        <w:rPr>
          <w:lang w:val="en-NZ"/>
        </w:rPr>
        <w:t>Submitters sought exceptions from the bright-line</w:t>
      </w:r>
      <w:r w:rsidR="007F2558">
        <w:rPr>
          <w:lang w:val="en-NZ"/>
        </w:rPr>
        <w:t xml:space="preserve"> test</w:t>
      </w:r>
      <w:r>
        <w:rPr>
          <w:lang w:val="en-NZ"/>
        </w:rPr>
        <w:t xml:space="preserve"> for various circumstances where the seller is forced to sell property</w:t>
      </w:r>
      <w:r w:rsidR="00021AAD">
        <w:rPr>
          <w:lang w:val="en-NZ"/>
        </w:rPr>
        <w:t xml:space="preserve"> due to circumstances outside of their control</w:t>
      </w:r>
      <w:r w:rsidR="00F16E3E">
        <w:rPr>
          <w:lang w:val="en-NZ"/>
        </w:rPr>
        <w:t>.  S</w:t>
      </w:r>
      <w:r>
        <w:rPr>
          <w:lang w:val="en-NZ"/>
        </w:rPr>
        <w:t>ubmitters stated that as the bright-line test is intended to be a supplement to the existing</w:t>
      </w:r>
      <w:r w:rsidR="007F2558">
        <w:rPr>
          <w:lang w:val="en-NZ"/>
        </w:rPr>
        <w:t xml:space="preserve"> intention</w:t>
      </w:r>
      <w:r>
        <w:rPr>
          <w:lang w:val="en-NZ"/>
        </w:rPr>
        <w:t xml:space="preserve"> test it should not apply whe</w:t>
      </w:r>
      <w:r w:rsidR="007F2558">
        <w:rPr>
          <w:lang w:val="en-NZ"/>
        </w:rPr>
        <w:t>n</w:t>
      </w:r>
      <w:r>
        <w:rPr>
          <w:lang w:val="en-NZ"/>
        </w:rPr>
        <w:t xml:space="preserve"> the seller is forced to sell the property due to circumstances outside of their control.</w:t>
      </w:r>
    </w:p>
    <w:p w:rsidR="00A3365E" w:rsidRDefault="00A3365E" w:rsidP="00D95FF8">
      <w:pPr>
        <w:rPr>
          <w:lang w:val="en-NZ"/>
        </w:rPr>
      </w:pPr>
    </w:p>
    <w:p w:rsidR="00A3365E" w:rsidRDefault="00A3365E" w:rsidP="00D95FF8">
      <w:pPr>
        <w:rPr>
          <w:lang w:val="en-NZ"/>
        </w:rPr>
      </w:pPr>
      <w:r>
        <w:rPr>
          <w:lang w:val="en-NZ"/>
        </w:rPr>
        <w:t>Exceptions were sought for:</w:t>
      </w:r>
    </w:p>
    <w:p w:rsidR="00FD4D5C" w:rsidRDefault="00FD4D5C" w:rsidP="00D95FF8">
      <w:pPr>
        <w:rPr>
          <w:lang w:val="en-NZ"/>
        </w:rPr>
      </w:pPr>
    </w:p>
    <w:p w:rsidR="00A3365E" w:rsidRDefault="003828F7" w:rsidP="00FD4D5C">
      <w:pPr>
        <w:pStyle w:val="Bullets"/>
        <w:tabs>
          <w:tab w:val="clear" w:pos="851"/>
          <w:tab w:val="num" w:pos="567"/>
        </w:tabs>
        <w:spacing w:after="140"/>
        <w:ind w:left="567" w:hanging="567"/>
        <w:rPr>
          <w:lang w:val="en-NZ"/>
        </w:rPr>
      </w:pPr>
      <w:r>
        <w:rPr>
          <w:lang w:val="en-NZ"/>
        </w:rPr>
        <w:t>s</w:t>
      </w:r>
      <w:r w:rsidR="00A3365E">
        <w:rPr>
          <w:lang w:val="en-NZ"/>
        </w:rPr>
        <w:t>ales due to financial hardship</w:t>
      </w:r>
      <w:r>
        <w:rPr>
          <w:lang w:val="en-NZ"/>
        </w:rPr>
        <w:t>;</w:t>
      </w:r>
    </w:p>
    <w:p w:rsidR="00A3365E" w:rsidRDefault="003828F7" w:rsidP="00FD4D5C">
      <w:pPr>
        <w:pStyle w:val="Bullets"/>
        <w:tabs>
          <w:tab w:val="clear" w:pos="851"/>
          <w:tab w:val="num" w:pos="567"/>
        </w:tabs>
        <w:spacing w:after="140"/>
        <w:ind w:left="567" w:hanging="567"/>
        <w:rPr>
          <w:lang w:val="en-NZ"/>
        </w:rPr>
      </w:pPr>
      <w:r>
        <w:rPr>
          <w:lang w:val="en-NZ"/>
        </w:rPr>
        <w:t>c</w:t>
      </w:r>
      <w:r w:rsidR="00A3365E">
        <w:rPr>
          <w:lang w:val="en-NZ"/>
        </w:rPr>
        <w:t>ompulsory acquisitions</w:t>
      </w:r>
      <w:r>
        <w:rPr>
          <w:lang w:val="en-NZ"/>
        </w:rPr>
        <w:t>;</w:t>
      </w:r>
    </w:p>
    <w:p w:rsidR="00A3365E" w:rsidRDefault="003828F7" w:rsidP="00FD4D5C">
      <w:pPr>
        <w:pStyle w:val="Bullets"/>
        <w:tabs>
          <w:tab w:val="clear" w:pos="851"/>
          <w:tab w:val="num" w:pos="567"/>
        </w:tabs>
        <w:spacing w:after="140"/>
        <w:ind w:left="567" w:hanging="567"/>
        <w:rPr>
          <w:lang w:val="en-NZ"/>
        </w:rPr>
      </w:pPr>
      <w:r>
        <w:rPr>
          <w:lang w:val="en-NZ"/>
        </w:rPr>
        <w:t>m</w:t>
      </w:r>
      <w:r w:rsidR="00A3365E">
        <w:rPr>
          <w:lang w:val="en-NZ"/>
        </w:rPr>
        <w:t>ortgagee sales</w:t>
      </w:r>
      <w:r>
        <w:rPr>
          <w:lang w:val="en-NZ"/>
        </w:rPr>
        <w:t>; and</w:t>
      </w:r>
    </w:p>
    <w:p w:rsidR="00A3365E" w:rsidRDefault="003828F7" w:rsidP="00323495">
      <w:pPr>
        <w:pStyle w:val="Bullets"/>
        <w:tabs>
          <w:tab w:val="clear" w:pos="851"/>
          <w:tab w:val="num" w:pos="567"/>
        </w:tabs>
        <w:ind w:left="567" w:hanging="567"/>
        <w:rPr>
          <w:lang w:val="en-NZ"/>
        </w:rPr>
      </w:pPr>
      <w:proofErr w:type="gramStart"/>
      <w:r>
        <w:rPr>
          <w:lang w:val="en-NZ"/>
        </w:rPr>
        <w:t>c</w:t>
      </w:r>
      <w:r w:rsidR="00A3365E">
        <w:rPr>
          <w:lang w:val="en-NZ"/>
        </w:rPr>
        <w:t>orporate</w:t>
      </w:r>
      <w:proofErr w:type="gramEnd"/>
      <w:r w:rsidR="00A3365E">
        <w:rPr>
          <w:lang w:val="en-NZ"/>
        </w:rPr>
        <w:t xml:space="preserve"> and personal insolvencies</w:t>
      </w:r>
      <w:r>
        <w:rPr>
          <w:lang w:val="en-NZ"/>
        </w:rPr>
        <w:t>.</w:t>
      </w:r>
    </w:p>
    <w:p w:rsidR="00323495" w:rsidRPr="00323495" w:rsidRDefault="00323495" w:rsidP="00323495"/>
    <w:p w:rsidR="00D95FF8" w:rsidRPr="00DB4CC5" w:rsidRDefault="00D95FF8" w:rsidP="00D95FF8">
      <w:pPr>
        <w:pStyle w:val="Heading2"/>
        <w:rPr>
          <w:lang w:val="en-NZ"/>
        </w:rPr>
      </w:pPr>
      <w:r w:rsidRPr="00DB4CC5">
        <w:rPr>
          <w:lang w:val="en-NZ"/>
        </w:rPr>
        <w:t>Comment</w:t>
      </w:r>
    </w:p>
    <w:p w:rsidR="00D95FF8" w:rsidRPr="00DB4CC5" w:rsidRDefault="00D95FF8" w:rsidP="00D95FF8">
      <w:pPr>
        <w:rPr>
          <w:lang w:val="en-NZ"/>
        </w:rPr>
      </w:pPr>
    </w:p>
    <w:p w:rsidR="001D151F" w:rsidRDefault="00BF7A45" w:rsidP="001D151F">
      <w:pPr>
        <w:rPr>
          <w:lang w:val="en-NZ"/>
        </w:rPr>
      </w:pPr>
      <w:r>
        <w:rPr>
          <w:lang w:val="en-NZ"/>
        </w:rPr>
        <w:t>The primary objective of the bright-line test is to be an easy to enforce rule</w:t>
      </w:r>
      <w:r w:rsidR="00F16E3E">
        <w:rPr>
          <w:lang w:val="en-NZ"/>
        </w:rPr>
        <w:t>.  F</w:t>
      </w:r>
      <w:r w:rsidR="001D151F">
        <w:rPr>
          <w:lang w:val="en-NZ"/>
        </w:rPr>
        <w:t>or the bright-line test to be effective the number of exceptions should be limited and defined tightly</w:t>
      </w:r>
      <w:r w:rsidR="00F16E3E">
        <w:rPr>
          <w:lang w:val="en-NZ"/>
        </w:rPr>
        <w:t>.  E</w:t>
      </w:r>
      <w:proofErr w:type="spellStart"/>
      <w:r w:rsidR="00657C03">
        <w:rPr>
          <w:bCs/>
        </w:rPr>
        <w:t>xceptions</w:t>
      </w:r>
      <w:proofErr w:type="spellEnd"/>
      <w:r w:rsidR="00657C03">
        <w:rPr>
          <w:bCs/>
        </w:rPr>
        <w:t xml:space="preserve"> such as hardship would make the bright-line test more subjective and difficult to enforce</w:t>
      </w:r>
      <w:r w:rsidR="00F16E3E">
        <w:rPr>
          <w:bCs/>
        </w:rPr>
        <w:t>.  P</w:t>
      </w:r>
      <w:proofErr w:type="spellStart"/>
      <w:r w:rsidR="001D151F">
        <w:rPr>
          <w:lang w:val="en-NZ"/>
        </w:rPr>
        <w:t>roviding</w:t>
      </w:r>
      <w:proofErr w:type="spellEnd"/>
      <w:r w:rsidR="001D151F">
        <w:rPr>
          <w:lang w:val="en-NZ"/>
        </w:rPr>
        <w:t xml:space="preserve"> additional exceptions to the bright-line test </w:t>
      </w:r>
      <w:r w:rsidR="00560CE1">
        <w:rPr>
          <w:lang w:val="en-NZ"/>
        </w:rPr>
        <w:t xml:space="preserve">would increase the complexity of the bill while </w:t>
      </w:r>
      <w:r w:rsidR="00553A51">
        <w:rPr>
          <w:lang w:val="en-NZ"/>
        </w:rPr>
        <w:t>reducing</w:t>
      </w:r>
      <w:r w:rsidR="00657C03">
        <w:rPr>
          <w:lang w:val="en-NZ"/>
        </w:rPr>
        <w:t xml:space="preserve"> </w:t>
      </w:r>
      <w:r w:rsidR="00560CE1">
        <w:rPr>
          <w:lang w:val="en-NZ"/>
        </w:rPr>
        <w:t>its effectiveness and making it less clear and objective.</w:t>
      </w:r>
    </w:p>
    <w:p w:rsidR="001D151F" w:rsidRDefault="001D151F" w:rsidP="001D151F">
      <w:pPr>
        <w:rPr>
          <w:lang w:val="en-NZ"/>
        </w:rPr>
      </w:pPr>
    </w:p>
    <w:p w:rsidR="001D151F" w:rsidRDefault="001D151F" w:rsidP="001D151F">
      <w:pPr>
        <w:rPr>
          <w:lang w:val="en-NZ"/>
        </w:rPr>
      </w:pPr>
      <w:r>
        <w:rPr>
          <w:lang w:val="en-NZ"/>
        </w:rPr>
        <w:t>Existing hardship provisions in tax law are available to provide relief for taxpayers who cannot afford to pay</w:t>
      </w:r>
      <w:r w:rsidR="00F16E3E">
        <w:rPr>
          <w:lang w:val="en-NZ"/>
        </w:rPr>
        <w:t>.  I</w:t>
      </w:r>
      <w:r>
        <w:rPr>
          <w:lang w:val="en-NZ"/>
        </w:rPr>
        <w:t>n addition, the main home exception will mean that a person’s main home will not be taxed by the bright-line test.</w:t>
      </w:r>
    </w:p>
    <w:p w:rsidR="00FE288E" w:rsidRDefault="00FE288E" w:rsidP="001D151F">
      <w:pPr>
        <w:rPr>
          <w:lang w:val="en-NZ"/>
        </w:rPr>
      </w:pPr>
    </w:p>
    <w:p w:rsidR="00FE288E" w:rsidRDefault="00FE288E" w:rsidP="001D151F">
      <w:pPr>
        <w:rPr>
          <w:lang w:val="en-NZ"/>
        </w:rPr>
      </w:pPr>
      <w:r>
        <w:rPr>
          <w:lang w:val="en-NZ"/>
        </w:rPr>
        <w:t>Part of the generic tax policy process involves a post-implementation review</w:t>
      </w:r>
      <w:r w:rsidR="00F16E3E">
        <w:rPr>
          <w:lang w:val="en-NZ"/>
        </w:rPr>
        <w:t>.  W</w:t>
      </w:r>
      <w:r>
        <w:rPr>
          <w:lang w:val="en-NZ"/>
        </w:rPr>
        <w:t>e will monitor this area to ensure the bright-line test is working as intended.</w:t>
      </w:r>
    </w:p>
    <w:p w:rsidR="00D95FF8" w:rsidRPr="00DB4CC5" w:rsidRDefault="00D95FF8" w:rsidP="00D95FF8">
      <w:pPr>
        <w:rPr>
          <w:lang w:val="en-NZ"/>
        </w:rPr>
      </w:pPr>
    </w:p>
    <w:p w:rsidR="00D95FF8" w:rsidRPr="00DB4CC5" w:rsidRDefault="00D95FF8" w:rsidP="00D95FF8">
      <w:pPr>
        <w:pStyle w:val="Heading2"/>
        <w:rPr>
          <w:lang w:val="en-NZ"/>
        </w:rPr>
      </w:pPr>
      <w:r w:rsidRPr="00DB4CC5">
        <w:rPr>
          <w:lang w:val="en-NZ"/>
        </w:rPr>
        <w:t>Recommendation</w:t>
      </w:r>
    </w:p>
    <w:p w:rsidR="00D95FF8" w:rsidRPr="00DB4CC5" w:rsidRDefault="00D95FF8" w:rsidP="00D95FF8">
      <w:pPr>
        <w:rPr>
          <w:lang w:val="en-NZ"/>
        </w:rPr>
      </w:pPr>
    </w:p>
    <w:p w:rsidR="00D95FF8" w:rsidRPr="00DB4CC5" w:rsidRDefault="00D95FF8" w:rsidP="00D95FF8">
      <w:pPr>
        <w:rPr>
          <w:lang w:val="en-NZ"/>
        </w:rPr>
      </w:pPr>
      <w:r w:rsidRPr="00DB4CC5">
        <w:rPr>
          <w:lang w:val="en-NZ"/>
        </w:rPr>
        <w:t xml:space="preserve">That the submission be </w:t>
      </w:r>
      <w:r w:rsidR="004E5231">
        <w:rPr>
          <w:lang w:val="en-NZ"/>
        </w:rPr>
        <w:t>declined.</w:t>
      </w:r>
    </w:p>
    <w:p w:rsidR="00A332B1" w:rsidRPr="00DB4CC5" w:rsidRDefault="00A332B1" w:rsidP="00A332B1">
      <w:pPr>
        <w:pBdr>
          <w:bottom w:val="single" w:sz="4" w:space="1" w:color="auto"/>
        </w:pBdr>
        <w:rPr>
          <w:lang w:val="en-NZ"/>
        </w:rPr>
      </w:pPr>
    </w:p>
    <w:p w:rsidR="009E5A86" w:rsidRPr="00DB4CC5" w:rsidRDefault="009E5A86" w:rsidP="009E5A86">
      <w:pPr>
        <w:rPr>
          <w:lang w:val="en-NZ"/>
        </w:rPr>
      </w:pPr>
    </w:p>
    <w:p w:rsidR="00892E85" w:rsidRDefault="00892E85">
      <w:pPr>
        <w:jc w:val="left"/>
        <w:rPr>
          <w:b/>
          <w:sz w:val="26"/>
          <w:lang w:val="en-NZ"/>
        </w:rPr>
      </w:pPr>
      <w:r>
        <w:rPr>
          <w:lang w:val="en-NZ"/>
        </w:rPr>
        <w:br w:type="page"/>
      </w:r>
    </w:p>
    <w:p w:rsidR="009E5A86" w:rsidRPr="00DB4CC5" w:rsidRDefault="009E5A86" w:rsidP="00892E85">
      <w:pPr>
        <w:pStyle w:val="Heading5"/>
        <w:tabs>
          <w:tab w:val="clear" w:pos="794"/>
          <w:tab w:val="left" w:pos="851"/>
        </w:tabs>
        <w:rPr>
          <w:lang w:val="en-NZ"/>
        </w:rPr>
      </w:pPr>
      <w:bookmarkStart w:id="69" w:name="_Toc432411957"/>
      <w:r w:rsidRPr="00DB4CC5">
        <w:rPr>
          <w:lang w:val="en-NZ"/>
        </w:rPr>
        <w:t>Issue:</w:t>
      </w:r>
      <w:r w:rsidRPr="00DB4CC5">
        <w:rPr>
          <w:lang w:val="en-NZ"/>
        </w:rPr>
        <w:tab/>
      </w:r>
      <w:r>
        <w:rPr>
          <w:lang w:val="en-NZ"/>
        </w:rPr>
        <w:t>Exception for persons who hold leasehold title in property prior to obtaining freehold title</w:t>
      </w:r>
      <w:bookmarkEnd w:id="69"/>
    </w:p>
    <w:p w:rsidR="009E5A86" w:rsidRPr="00DB4CC5" w:rsidRDefault="009E5A86" w:rsidP="009E5A86">
      <w:pPr>
        <w:rPr>
          <w:lang w:val="en-NZ"/>
        </w:rPr>
      </w:pPr>
    </w:p>
    <w:p w:rsidR="009E5A86" w:rsidRPr="00DB4CC5" w:rsidRDefault="009E5A86" w:rsidP="009E5A86">
      <w:pPr>
        <w:rPr>
          <w:lang w:val="en-NZ"/>
        </w:rPr>
      </w:pPr>
    </w:p>
    <w:p w:rsidR="009E5A86" w:rsidRPr="00DB4CC5" w:rsidRDefault="009E5A86" w:rsidP="009E5A86">
      <w:pPr>
        <w:pStyle w:val="Heading2"/>
        <w:rPr>
          <w:lang w:val="en-NZ"/>
        </w:rPr>
      </w:pPr>
      <w:r w:rsidRPr="00DB4CC5">
        <w:rPr>
          <w:lang w:val="en-NZ"/>
        </w:rPr>
        <w:t>Submission</w:t>
      </w:r>
    </w:p>
    <w:p w:rsidR="009E5A86" w:rsidRPr="00DB4CC5" w:rsidRDefault="009E5A86" w:rsidP="009E5A86">
      <w:pPr>
        <w:pStyle w:val="Heading4"/>
        <w:rPr>
          <w:lang w:val="en-NZ"/>
        </w:rPr>
      </w:pPr>
      <w:r w:rsidRPr="00DB4CC5">
        <w:rPr>
          <w:lang w:val="en-NZ"/>
        </w:rPr>
        <w:t>(</w:t>
      </w:r>
      <w:r>
        <w:rPr>
          <w:lang w:val="en-NZ"/>
        </w:rPr>
        <w:t>New Plymouth District Council)</w:t>
      </w:r>
    </w:p>
    <w:p w:rsidR="009E5A86" w:rsidRPr="00DB4CC5" w:rsidRDefault="009E5A86" w:rsidP="009E5A86">
      <w:pPr>
        <w:tabs>
          <w:tab w:val="left" w:pos="5295"/>
        </w:tabs>
        <w:rPr>
          <w:lang w:val="en-NZ"/>
        </w:rPr>
      </w:pPr>
    </w:p>
    <w:p w:rsidR="009E5A86" w:rsidRDefault="009E5A86" w:rsidP="009E5A86">
      <w:pPr>
        <w:rPr>
          <w:lang w:val="en-NZ"/>
        </w:rPr>
      </w:pPr>
      <w:r>
        <w:rPr>
          <w:lang w:val="en-NZ"/>
        </w:rPr>
        <w:t>There should be an exception from the bright-line test for persons who hold a leasehold title in respect of the property prior to the purchase of a freehold title</w:t>
      </w:r>
      <w:r w:rsidR="00D70CED">
        <w:rPr>
          <w:lang w:val="en-NZ"/>
        </w:rPr>
        <w:t>,</w:t>
      </w:r>
      <w:r>
        <w:rPr>
          <w:lang w:val="en-NZ"/>
        </w:rPr>
        <w:t xml:space="preserve"> the leasehold title h</w:t>
      </w:r>
      <w:r w:rsidR="00D70CED">
        <w:rPr>
          <w:lang w:val="en-NZ"/>
        </w:rPr>
        <w:t>as a perpetual right of renewal, and the person has held the leasehold title or the freehold title for at least two years.</w:t>
      </w:r>
    </w:p>
    <w:p w:rsidR="009E5A86" w:rsidRDefault="009E5A86" w:rsidP="009E5A86">
      <w:pPr>
        <w:rPr>
          <w:lang w:val="en-NZ"/>
        </w:rPr>
      </w:pPr>
    </w:p>
    <w:p w:rsidR="009E5A86" w:rsidRPr="00DB4CC5" w:rsidRDefault="009E5A86" w:rsidP="009E5A86">
      <w:pPr>
        <w:rPr>
          <w:lang w:val="en-NZ"/>
        </w:rPr>
      </w:pPr>
      <w:r>
        <w:rPr>
          <w:lang w:val="en-NZ"/>
        </w:rPr>
        <w:t>The bright-line test is intended to capture speculators</w:t>
      </w:r>
      <w:r w:rsidR="00F16E3E">
        <w:rPr>
          <w:lang w:val="en-NZ"/>
        </w:rPr>
        <w:t>.  W</w:t>
      </w:r>
      <w:r>
        <w:rPr>
          <w:lang w:val="en-NZ"/>
        </w:rPr>
        <w:t>here persons hold a lease with a perpetual right of renewal, it will be common for them to obtain freehold title prior to selling the land</w:t>
      </w:r>
      <w:r w:rsidR="007F2558">
        <w:rPr>
          <w:lang w:val="en-NZ"/>
        </w:rPr>
        <w:t>,</w:t>
      </w:r>
      <w:r>
        <w:rPr>
          <w:lang w:val="en-NZ"/>
        </w:rPr>
        <w:t xml:space="preserve"> to make it easier to sell</w:t>
      </w:r>
      <w:r w:rsidR="00F16E3E">
        <w:rPr>
          <w:lang w:val="en-NZ"/>
        </w:rPr>
        <w:t>.  T</w:t>
      </w:r>
      <w:r>
        <w:rPr>
          <w:lang w:val="en-NZ"/>
        </w:rPr>
        <w:t>hese people are not speculators and it would be administratively difficult for them to administer the bright-line test</w:t>
      </w:r>
      <w:r w:rsidR="00F16E3E">
        <w:rPr>
          <w:lang w:val="en-NZ"/>
        </w:rPr>
        <w:t>.  T</w:t>
      </w:r>
      <w:r w:rsidR="00D70CED">
        <w:rPr>
          <w:lang w:val="en-NZ"/>
        </w:rPr>
        <w:t>reating leases with a perpetual right of renewal similarly to freehold estates is also consistent with recent changes made in the Taxation (Annual Rates, Employment Allowances, and Remedial Matters) Act 2014.</w:t>
      </w:r>
    </w:p>
    <w:p w:rsidR="009E5A86" w:rsidRPr="00DB4CC5" w:rsidRDefault="009E5A86" w:rsidP="009E5A86">
      <w:pPr>
        <w:rPr>
          <w:lang w:val="en-NZ"/>
        </w:rPr>
      </w:pPr>
    </w:p>
    <w:p w:rsidR="009E5A86" w:rsidRPr="00DB4CC5" w:rsidRDefault="009E5A86" w:rsidP="009E5A86">
      <w:pPr>
        <w:pStyle w:val="Heading2"/>
        <w:rPr>
          <w:lang w:val="en-NZ"/>
        </w:rPr>
      </w:pPr>
      <w:r w:rsidRPr="00DB4CC5">
        <w:rPr>
          <w:lang w:val="en-NZ"/>
        </w:rPr>
        <w:t>Comment</w:t>
      </w:r>
    </w:p>
    <w:p w:rsidR="009E5A86" w:rsidRPr="00DB4CC5" w:rsidRDefault="009E5A86" w:rsidP="009E5A86">
      <w:pPr>
        <w:rPr>
          <w:lang w:val="en-NZ"/>
        </w:rPr>
      </w:pPr>
    </w:p>
    <w:p w:rsidR="00D70CED" w:rsidRDefault="007F2558" w:rsidP="009E5A86">
      <w:pPr>
        <w:rPr>
          <w:lang w:val="en-NZ"/>
        </w:rPr>
      </w:pPr>
      <w:r>
        <w:rPr>
          <w:lang w:val="en-NZ"/>
        </w:rPr>
        <w:t>F</w:t>
      </w:r>
      <w:r w:rsidR="00D70CED">
        <w:rPr>
          <w:lang w:val="en-NZ"/>
        </w:rPr>
        <w:t>or the bright-line test to be effective</w:t>
      </w:r>
      <w:r>
        <w:rPr>
          <w:lang w:val="en-NZ"/>
        </w:rPr>
        <w:t>,</w:t>
      </w:r>
      <w:r w:rsidR="00D70CED">
        <w:rPr>
          <w:lang w:val="en-NZ"/>
        </w:rPr>
        <w:t xml:space="preserve"> the number of exceptions should be limited and defined tightly.</w:t>
      </w:r>
    </w:p>
    <w:p w:rsidR="00D70CED" w:rsidRDefault="00D70CED" w:rsidP="009E5A86">
      <w:pPr>
        <w:rPr>
          <w:lang w:val="en-NZ"/>
        </w:rPr>
      </w:pPr>
    </w:p>
    <w:p w:rsidR="009E5A86" w:rsidRDefault="00110F9C" w:rsidP="009E5A86">
      <w:pPr>
        <w:rPr>
          <w:lang w:val="en-NZ"/>
        </w:rPr>
      </w:pPr>
      <w:r>
        <w:rPr>
          <w:lang w:val="en-NZ"/>
        </w:rPr>
        <w:t>However, we can see a good case for a narrow exception in this situation</w:t>
      </w:r>
      <w:r w:rsidR="00F16E3E">
        <w:rPr>
          <w:lang w:val="en-NZ"/>
        </w:rPr>
        <w:t>.  L</w:t>
      </w:r>
      <w:r>
        <w:rPr>
          <w:lang w:val="en-NZ"/>
        </w:rPr>
        <w:t>eases with a perpetual right of renewal are very similar to freehold title and other tax provisions treat them similarly.</w:t>
      </w:r>
    </w:p>
    <w:p w:rsidR="009E5A86" w:rsidRPr="00DB4CC5" w:rsidRDefault="009E5A86" w:rsidP="009E5A86">
      <w:pPr>
        <w:rPr>
          <w:lang w:val="en-NZ"/>
        </w:rPr>
      </w:pPr>
    </w:p>
    <w:p w:rsidR="009E5A86" w:rsidRPr="00DB4CC5" w:rsidRDefault="009E5A86" w:rsidP="009E5A86">
      <w:pPr>
        <w:pStyle w:val="Heading2"/>
        <w:rPr>
          <w:lang w:val="en-NZ"/>
        </w:rPr>
      </w:pPr>
      <w:r w:rsidRPr="00DB4CC5">
        <w:rPr>
          <w:lang w:val="en-NZ"/>
        </w:rPr>
        <w:t>Recommendation</w:t>
      </w:r>
    </w:p>
    <w:p w:rsidR="009E5A86" w:rsidRPr="00DB4CC5" w:rsidRDefault="009E5A86" w:rsidP="009E5A86">
      <w:pPr>
        <w:rPr>
          <w:lang w:val="en-NZ"/>
        </w:rPr>
      </w:pPr>
    </w:p>
    <w:p w:rsidR="009E5A86" w:rsidRPr="00DB4CC5" w:rsidRDefault="009E5A86" w:rsidP="009E5A86">
      <w:pPr>
        <w:rPr>
          <w:lang w:val="en-NZ"/>
        </w:rPr>
      </w:pPr>
      <w:r w:rsidRPr="00DB4CC5">
        <w:rPr>
          <w:lang w:val="en-NZ"/>
        </w:rPr>
        <w:t xml:space="preserve">That the submission be </w:t>
      </w:r>
      <w:r w:rsidR="00D70CED">
        <w:rPr>
          <w:lang w:val="en-NZ"/>
        </w:rPr>
        <w:t>accepted.</w:t>
      </w:r>
    </w:p>
    <w:p w:rsidR="00A332B1" w:rsidRPr="00DB4CC5" w:rsidRDefault="00A332B1" w:rsidP="00A332B1">
      <w:pPr>
        <w:pBdr>
          <w:bottom w:val="single" w:sz="4" w:space="1" w:color="auto"/>
        </w:pBdr>
        <w:rPr>
          <w:lang w:val="en-NZ"/>
        </w:rPr>
      </w:pPr>
    </w:p>
    <w:p w:rsidR="00915503" w:rsidRDefault="00915503" w:rsidP="00915503">
      <w:pPr>
        <w:rPr>
          <w:lang w:val="en-NZ"/>
        </w:rPr>
      </w:pPr>
    </w:p>
    <w:p w:rsidR="00323495" w:rsidRPr="00DB4CC5" w:rsidRDefault="00323495" w:rsidP="00915503">
      <w:pPr>
        <w:rPr>
          <w:lang w:val="en-NZ"/>
        </w:rPr>
      </w:pPr>
    </w:p>
    <w:p w:rsidR="00915503" w:rsidRPr="00DB4CC5" w:rsidRDefault="00915503" w:rsidP="00915503">
      <w:pPr>
        <w:pStyle w:val="Heading5"/>
        <w:ind w:left="794" w:hanging="794"/>
        <w:rPr>
          <w:lang w:val="en-NZ"/>
        </w:rPr>
      </w:pPr>
      <w:bookmarkStart w:id="70" w:name="_Toc432411958"/>
      <w:r w:rsidRPr="00DB4CC5">
        <w:rPr>
          <w:lang w:val="en-NZ"/>
        </w:rPr>
        <w:t>Issue:</w:t>
      </w:r>
      <w:r w:rsidRPr="00DB4CC5">
        <w:rPr>
          <w:lang w:val="en-NZ"/>
        </w:rPr>
        <w:tab/>
      </w:r>
      <w:r>
        <w:rPr>
          <w:lang w:val="en-NZ"/>
        </w:rPr>
        <w:t>Rollover relief for associated persons</w:t>
      </w:r>
      <w:bookmarkEnd w:id="70"/>
    </w:p>
    <w:p w:rsidR="00915503" w:rsidRPr="00DB4CC5" w:rsidRDefault="00915503" w:rsidP="00915503">
      <w:pPr>
        <w:rPr>
          <w:lang w:val="en-NZ"/>
        </w:rPr>
      </w:pPr>
    </w:p>
    <w:p w:rsidR="00915503" w:rsidRPr="00DB4CC5" w:rsidRDefault="00915503" w:rsidP="00915503">
      <w:pPr>
        <w:rPr>
          <w:lang w:val="en-NZ"/>
        </w:rPr>
      </w:pPr>
    </w:p>
    <w:p w:rsidR="00915503" w:rsidRPr="00DB4CC5" w:rsidRDefault="00915503" w:rsidP="00915503">
      <w:pPr>
        <w:pStyle w:val="Heading2"/>
        <w:rPr>
          <w:lang w:val="en-NZ"/>
        </w:rPr>
      </w:pPr>
      <w:r w:rsidRPr="00DB4CC5">
        <w:rPr>
          <w:lang w:val="en-NZ"/>
        </w:rPr>
        <w:t>Submission</w:t>
      </w:r>
    </w:p>
    <w:p w:rsidR="00915503" w:rsidRPr="00DB4CC5" w:rsidRDefault="00915503" w:rsidP="00915503">
      <w:pPr>
        <w:pStyle w:val="Heading4"/>
        <w:rPr>
          <w:lang w:val="en-NZ"/>
        </w:rPr>
      </w:pPr>
      <w:r>
        <w:rPr>
          <w:lang w:val="en-NZ"/>
        </w:rPr>
        <w:t>(</w:t>
      </w:r>
      <w:proofErr w:type="spellStart"/>
      <w:proofErr w:type="gramStart"/>
      <w:r>
        <w:rPr>
          <w:lang w:val="en-NZ"/>
        </w:rPr>
        <w:t>nsaTax</w:t>
      </w:r>
      <w:proofErr w:type="spellEnd"/>
      <w:proofErr w:type="gramEnd"/>
      <w:r w:rsidR="006D646D">
        <w:rPr>
          <w:lang w:val="en-NZ"/>
        </w:rPr>
        <w:t>, Chapman Tripp</w:t>
      </w:r>
      <w:r>
        <w:rPr>
          <w:lang w:val="en-NZ"/>
        </w:rPr>
        <w:t>)</w:t>
      </w:r>
    </w:p>
    <w:p w:rsidR="00915503" w:rsidRPr="00DB4CC5" w:rsidRDefault="00915503" w:rsidP="00915503">
      <w:pPr>
        <w:tabs>
          <w:tab w:val="left" w:pos="5295"/>
        </w:tabs>
        <w:rPr>
          <w:lang w:val="en-NZ"/>
        </w:rPr>
      </w:pPr>
    </w:p>
    <w:p w:rsidR="000E7CA9" w:rsidRDefault="000E7CA9" w:rsidP="000E7CA9">
      <w:pPr>
        <w:rPr>
          <w:lang w:val="en-NZ"/>
        </w:rPr>
      </w:pPr>
      <w:r>
        <w:rPr>
          <w:lang w:val="en-NZ"/>
        </w:rPr>
        <w:t>The bill provides for no loss from a transfer of property to an associated person</w:t>
      </w:r>
      <w:r w:rsidR="00F16E3E">
        <w:rPr>
          <w:lang w:val="en-NZ"/>
        </w:rPr>
        <w:t>.  H</w:t>
      </w:r>
      <w:r>
        <w:rPr>
          <w:lang w:val="en-NZ"/>
        </w:rPr>
        <w:t>owever the bill does not provide for the inverse situation to provide rollover relief for gains.</w:t>
      </w:r>
    </w:p>
    <w:p w:rsidR="00AB641C" w:rsidRDefault="00AB641C" w:rsidP="00915503">
      <w:pPr>
        <w:rPr>
          <w:lang w:val="en-NZ"/>
        </w:rPr>
      </w:pPr>
    </w:p>
    <w:p w:rsidR="00AB641C" w:rsidRDefault="00AB641C" w:rsidP="00915503">
      <w:pPr>
        <w:rPr>
          <w:lang w:val="en-NZ"/>
        </w:rPr>
      </w:pPr>
      <w:r>
        <w:rPr>
          <w:lang w:val="en-NZ"/>
        </w:rPr>
        <w:t>A person may choose to place their property into a trust or restructure for genuine commercial reasons within two years of acquiring the property.</w:t>
      </w:r>
    </w:p>
    <w:p w:rsidR="00AB641C" w:rsidRDefault="00AB641C" w:rsidP="00915503">
      <w:pPr>
        <w:rPr>
          <w:lang w:val="en-NZ"/>
        </w:rPr>
      </w:pPr>
    </w:p>
    <w:p w:rsidR="00AB641C" w:rsidRDefault="00AB641C" w:rsidP="00915503">
      <w:pPr>
        <w:rPr>
          <w:lang w:val="en-NZ"/>
        </w:rPr>
      </w:pPr>
      <w:r>
        <w:rPr>
          <w:lang w:val="en-NZ"/>
        </w:rPr>
        <w:t>This should not be subject to the bright-line test</w:t>
      </w:r>
      <w:r w:rsidR="00F16E3E">
        <w:rPr>
          <w:lang w:val="en-NZ"/>
        </w:rPr>
        <w:t>.  I</w:t>
      </w:r>
      <w:r>
        <w:rPr>
          <w:lang w:val="en-NZ"/>
        </w:rPr>
        <w:t>nstead</w:t>
      </w:r>
      <w:r w:rsidR="00A13FC5">
        <w:rPr>
          <w:lang w:val="en-NZ"/>
        </w:rPr>
        <w:t>,</w:t>
      </w:r>
      <w:r>
        <w:rPr>
          <w:lang w:val="en-NZ"/>
        </w:rPr>
        <w:t xml:space="preserve"> rollover relief should be provided and the associated person</w:t>
      </w:r>
      <w:r w:rsidR="005728F9">
        <w:rPr>
          <w:lang w:val="en-NZ"/>
        </w:rPr>
        <w:t xml:space="preserve"> should</w:t>
      </w:r>
      <w:r>
        <w:rPr>
          <w:lang w:val="en-NZ"/>
        </w:rPr>
        <w:t xml:space="preserve"> obtain the property at cost with the benefit of the acquisition date of the transferor</w:t>
      </w:r>
      <w:r w:rsidR="00F16E3E">
        <w:rPr>
          <w:lang w:val="en-NZ"/>
        </w:rPr>
        <w:t>.  T</w:t>
      </w:r>
      <w:r w:rsidR="000E7CA9">
        <w:rPr>
          <w:lang w:val="en-NZ"/>
        </w:rPr>
        <w:t>his would better reflect the economic reality where the associated persons are effectively one economic unit.</w:t>
      </w:r>
    </w:p>
    <w:p w:rsidR="00323495" w:rsidRDefault="00323495" w:rsidP="00915503">
      <w:pPr>
        <w:rPr>
          <w:lang w:val="en-NZ"/>
        </w:rPr>
      </w:pPr>
    </w:p>
    <w:p w:rsidR="00AB641C" w:rsidRDefault="00AB641C" w:rsidP="00915503">
      <w:pPr>
        <w:rPr>
          <w:lang w:val="en-NZ"/>
        </w:rPr>
      </w:pPr>
      <w:r>
        <w:rPr>
          <w:lang w:val="en-NZ"/>
        </w:rPr>
        <w:t>This would also remove the incentive for a taxpayer to realise an unrealised loss</w:t>
      </w:r>
      <w:r w:rsidR="00F16E3E">
        <w:rPr>
          <w:lang w:val="en-NZ"/>
        </w:rPr>
        <w:t>.  O</w:t>
      </w:r>
      <w:r>
        <w:rPr>
          <w:lang w:val="en-NZ"/>
        </w:rPr>
        <w:t>nly genuine third</w:t>
      </w:r>
      <w:r w:rsidR="00A13FC5">
        <w:rPr>
          <w:lang w:val="en-NZ"/>
        </w:rPr>
        <w:t>-</w:t>
      </w:r>
      <w:r>
        <w:rPr>
          <w:lang w:val="en-NZ"/>
        </w:rPr>
        <w:t>party s</w:t>
      </w:r>
      <w:r w:rsidR="00A13FC5">
        <w:rPr>
          <w:lang w:val="en-NZ"/>
        </w:rPr>
        <w:t>ales</w:t>
      </w:r>
      <w:r>
        <w:rPr>
          <w:lang w:val="en-NZ"/>
        </w:rPr>
        <w:t xml:space="preserve"> would trigger losses under the bright-line.</w:t>
      </w:r>
    </w:p>
    <w:p w:rsidR="006D646D" w:rsidRPr="00DB4CC5" w:rsidRDefault="006D646D" w:rsidP="00915503">
      <w:pPr>
        <w:rPr>
          <w:lang w:val="en-NZ"/>
        </w:rPr>
      </w:pPr>
    </w:p>
    <w:p w:rsidR="00915503" w:rsidRPr="00DB4CC5" w:rsidRDefault="00915503" w:rsidP="00915503">
      <w:pPr>
        <w:pStyle w:val="Heading2"/>
        <w:rPr>
          <w:lang w:val="en-NZ"/>
        </w:rPr>
      </w:pPr>
      <w:r w:rsidRPr="00DB4CC5">
        <w:rPr>
          <w:lang w:val="en-NZ"/>
        </w:rPr>
        <w:t>Comment</w:t>
      </w:r>
    </w:p>
    <w:p w:rsidR="00915503" w:rsidRDefault="00915503" w:rsidP="00915503">
      <w:pPr>
        <w:rPr>
          <w:lang w:val="en-NZ"/>
        </w:rPr>
      </w:pPr>
    </w:p>
    <w:p w:rsidR="003D5967" w:rsidRDefault="007D6F63" w:rsidP="003D5967">
      <w:pPr>
        <w:rPr>
          <w:lang w:val="en-NZ"/>
        </w:rPr>
      </w:pPr>
      <w:r>
        <w:rPr>
          <w:lang w:val="en-NZ"/>
        </w:rPr>
        <w:t>F</w:t>
      </w:r>
      <w:r w:rsidR="003D5967">
        <w:rPr>
          <w:lang w:val="en-NZ"/>
        </w:rPr>
        <w:t>or the bright-line test to be effective</w:t>
      </w:r>
      <w:r>
        <w:rPr>
          <w:lang w:val="en-NZ"/>
        </w:rPr>
        <w:t>,</w:t>
      </w:r>
      <w:r w:rsidR="003D5967">
        <w:rPr>
          <w:lang w:val="en-NZ"/>
        </w:rPr>
        <w:t xml:space="preserve"> the number of exceptions should be limited and defined tightly.</w:t>
      </w:r>
    </w:p>
    <w:p w:rsidR="003D5967" w:rsidRDefault="003D5967" w:rsidP="00915503">
      <w:pPr>
        <w:rPr>
          <w:lang w:val="en-NZ"/>
        </w:rPr>
      </w:pPr>
    </w:p>
    <w:p w:rsidR="003D5967" w:rsidRDefault="003D5967" w:rsidP="00915503">
      <w:pPr>
        <w:rPr>
          <w:lang w:val="en-NZ"/>
        </w:rPr>
      </w:pPr>
      <w:r>
        <w:rPr>
          <w:lang w:val="en-NZ"/>
        </w:rPr>
        <w:t xml:space="preserve">We consider that having rollover relief for associated persons would </w:t>
      </w:r>
      <w:r w:rsidR="00866C06">
        <w:rPr>
          <w:lang w:val="en-NZ"/>
        </w:rPr>
        <w:t>increase the complexity of the bright-line test and result in it being less clear</w:t>
      </w:r>
      <w:r w:rsidR="00F16E3E">
        <w:rPr>
          <w:lang w:val="en-NZ"/>
        </w:rPr>
        <w:t>.  N</w:t>
      </w:r>
      <w:r w:rsidR="00866C06">
        <w:rPr>
          <w:lang w:val="en-NZ"/>
        </w:rPr>
        <w:t>ot having general rollover relief is</w:t>
      </w:r>
      <w:r>
        <w:rPr>
          <w:lang w:val="en-NZ"/>
        </w:rPr>
        <w:t xml:space="preserve"> consistent with the current land sale rules</w:t>
      </w:r>
      <w:r w:rsidR="007D6F63">
        <w:rPr>
          <w:lang w:val="en-NZ"/>
        </w:rPr>
        <w:t>, which do</w:t>
      </w:r>
      <w:r>
        <w:rPr>
          <w:lang w:val="en-NZ"/>
        </w:rPr>
        <w:t xml:space="preserve"> not provide rollover relief for gains realised </w:t>
      </w:r>
      <w:r w:rsidR="00866C06">
        <w:rPr>
          <w:lang w:val="en-NZ"/>
        </w:rPr>
        <w:t xml:space="preserve">on </w:t>
      </w:r>
      <w:r>
        <w:rPr>
          <w:lang w:val="en-NZ"/>
        </w:rPr>
        <w:t>a transfer to an associated person.</w:t>
      </w:r>
    </w:p>
    <w:p w:rsidR="003D5967" w:rsidRDefault="003D5967" w:rsidP="00915503">
      <w:pPr>
        <w:rPr>
          <w:lang w:val="en-NZ"/>
        </w:rPr>
      </w:pPr>
    </w:p>
    <w:p w:rsidR="003D5967" w:rsidRPr="00DB4CC5" w:rsidRDefault="003D5967" w:rsidP="00915503">
      <w:pPr>
        <w:rPr>
          <w:lang w:val="en-NZ"/>
        </w:rPr>
      </w:pPr>
      <w:r>
        <w:rPr>
          <w:lang w:val="en-NZ"/>
        </w:rPr>
        <w:t>If a person chooses to place their property into a trust or restructure for genuine commercial reasons immediately after acquiring it</w:t>
      </w:r>
      <w:r w:rsidR="007D6F63">
        <w:rPr>
          <w:lang w:val="en-NZ"/>
        </w:rPr>
        <w:t>,</w:t>
      </w:r>
      <w:r>
        <w:rPr>
          <w:lang w:val="en-NZ"/>
        </w:rPr>
        <w:t xml:space="preserve"> they will not have a tax liability as there will be no gain from the disposal.</w:t>
      </w:r>
    </w:p>
    <w:p w:rsidR="00915503" w:rsidRPr="00DB4CC5" w:rsidRDefault="00915503" w:rsidP="00915503">
      <w:pPr>
        <w:rPr>
          <w:lang w:val="en-NZ"/>
        </w:rPr>
      </w:pPr>
    </w:p>
    <w:p w:rsidR="00915503" w:rsidRPr="00DB4CC5" w:rsidRDefault="00915503" w:rsidP="00915503">
      <w:pPr>
        <w:pStyle w:val="Heading2"/>
        <w:rPr>
          <w:lang w:val="en-NZ"/>
        </w:rPr>
      </w:pPr>
      <w:r w:rsidRPr="00DB4CC5">
        <w:rPr>
          <w:lang w:val="en-NZ"/>
        </w:rPr>
        <w:t>Recommendation</w:t>
      </w:r>
    </w:p>
    <w:p w:rsidR="00915503" w:rsidRPr="00DB4CC5" w:rsidRDefault="00915503" w:rsidP="00915503">
      <w:pPr>
        <w:rPr>
          <w:lang w:val="en-NZ"/>
        </w:rPr>
      </w:pPr>
    </w:p>
    <w:p w:rsidR="00915503" w:rsidRPr="00DB4CC5" w:rsidRDefault="00915503" w:rsidP="00915503">
      <w:pPr>
        <w:rPr>
          <w:lang w:val="en-NZ"/>
        </w:rPr>
      </w:pPr>
      <w:r w:rsidRPr="00DB4CC5">
        <w:rPr>
          <w:lang w:val="en-NZ"/>
        </w:rPr>
        <w:t>That the submission be</w:t>
      </w:r>
      <w:r w:rsidR="003D5967">
        <w:rPr>
          <w:lang w:val="en-NZ"/>
        </w:rPr>
        <w:t xml:space="preserve"> declined.</w:t>
      </w:r>
    </w:p>
    <w:p w:rsidR="00B95617" w:rsidRPr="00DB4CC5" w:rsidRDefault="00B95617" w:rsidP="00B95617">
      <w:pPr>
        <w:pBdr>
          <w:bottom w:val="single" w:sz="4" w:space="1" w:color="auto"/>
        </w:pBdr>
        <w:rPr>
          <w:lang w:val="en-NZ"/>
        </w:rPr>
      </w:pPr>
    </w:p>
    <w:p w:rsidR="00B95617" w:rsidRPr="00DB4CC5" w:rsidRDefault="00B95617" w:rsidP="00B95617">
      <w:pPr>
        <w:rPr>
          <w:lang w:val="en-NZ"/>
        </w:rPr>
      </w:pPr>
    </w:p>
    <w:p w:rsidR="00915503" w:rsidRPr="00DB4CC5" w:rsidRDefault="00915503" w:rsidP="00915503">
      <w:pPr>
        <w:rPr>
          <w:lang w:val="en-NZ"/>
        </w:rPr>
      </w:pPr>
    </w:p>
    <w:p w:rsidR="009E5A86" w:rsidRDefault="009E5A86" w:rsidP="009E5A86">
      <w:pPr>
        <w:jc w:val="left"/>
        <w:rPr>
          <w:lang w:val="en-NZ"/>
        </w:rPr>
      </w:pPr>
      <w:r>
        <w:rPr>
          <w:lang w:val="en-NZ"/>
        </w:rPr>
        <w:br w:type="page"/>
      </w:r>
    </w:p>
    <w:p w:rsidR="00D95FF8" w:rsidRPr="00DB4CC5" w:rsidRDefault="004453E2" w:rsidP="00D95FF8">
      <w:pPr>
        <w:pStyle w:val="Heading1"/>
      </w:pPr>
      <w:bookmarkStart w:id="71" w:name="_Toc432411959"/>
      <w:r>
        <w:t>Holding costs for property subject to the bright-line sh</w:t>
      </w:r>
      <w:r w:rsidR="00E17BEB">
        <w:t>o</w:t>
      </w:r>
      <w:r>
        <w:t>uld be deductible</w:t>
      </w:r>
      <w:bookmarkEnd w:id="71"/>
    </w:p>
    <w:p w:rsidR="00D95FF8" w:rsidRPr="00DB4CC5" w:rsidRDefault="00D95FF8" w:rsidP="00D95FF8">
      <w:pPr>
        <w:rPr>
          <w:lang w:val="en-NZ"/>
        </w:rPr>
      </w:pPr>
    </w:p>
    <w:p w:rsidR="00D95FF8" w:rsidRDefault="004C45AF" w:rsidP="00D95FF8">
      <w:pPr>
        <w:pStyle w:val="Heading3"/>
        <w:rPr>
          <w:lang w:val="en-NZ"/>
        </w:rPr>
      </w:pPr>
      <w:r>
        <w:rPr>
          <w:lang w:val="en-NZ"/>
        </w:rPr>
        <w:t>No clause</w:t>
      </w:r>
    </w:p>
    <w:p w:rsidR="00D95FF8" w:rsidRDefault="00D95FF8" w:rsidP="00D95FF8">
      <w:pPr>
        <w:rPr>
          <w:lang w:val="en-NZ"/>
        </w:rPr>
      </w:pPr>
    </w:p>
    <w:p w:rsidR="00D95FF8" w:rsidRPr="00DB4CC5" w:rsidRDefault="00D95FF8" w:rsidP="00D95FF8">
      <w:pPr>
        <w:rPr>
          <w:lang w:val="en-NZ"/>
        </w:rPr>
      </w:pPr>
    </w:p>
    <w:p w:rsidR="00D95FF8" w:rsidRPr="00DB4CC5" w:rsidRDefault="00D95FF8" w:rsidP="00D95FF8">
      <w:pPr>
        <w:pStyle w:val="Heading2"/>
        <w:rPr>
          <w:lang w:val="en-NZ"/>
        </w:rPr>
      </w:pPr>
      <w:r w:rsidRPr="00DB4CC5">
        <w:rPr>
          <w:lang w:val="en-NZ"/>
        </w:rPr>
        <w:t>Submission</w:t>
      </w:r>
    </w:p>
    <w:p w:rsidR="00D95FF8" w:rsidRPr="00DB4CC5" w:rsidRDefault="00B52730" w:rsidP="00D95FF8">
      <w:pPr>
        <w:pStyle w:val="Heading4"/>
        <w:rPr>
          <w:lang w:val="en-NZ"/>
        </w:rPr>
      </w:pPr>
      <w:r>
        <w:rPr>
          <w:lang w:val="en-NZ"/>
        </w:rPr>
        <w:t>(Chartered Accountants Australia and New Zealand</w:t>
      </w:r>
      <w:r w:rsidR="00915503">
        <w:rPr>
          <w:lang w:val="en-NZ"/>
        </w:rPr>
        <w:t xml:space="preserve">, </w:t>
      </w:r>
      <w:proofErr w:type="spellStart"/>
      <w:r w:rsidR="00915503">
        <w:rPr>
          <w:lang w:val="en-NZ"/>
        </w:rPr>
        <w:t>nsaTax</w:t>
      </w:r>
      <w:proofErr w:type="spellEnd"/>
      <w:r w:rsidR="00B95617">
        <w:rPr>
          <w:lang w:val="en-NZ"/>
        </w:rPr>
        <w:t>, New Zealand Law Society</w:t>
      </w:r>
      <w:r w:rsidR="008602CC">
        <w:rPr>
          <w:lang w:val="en-NZ"/>
        </w:rPr>
        <w:t xml:space="preserve">, </w:t>
      </w:r>
      <w:r w:rsidR="007D6F63">
        <w:rPr>
          <w:lang w:val="en-NZ"/>
        </w:rPr>
        <w:t>P</w:t>
      </w:r>
      <w:r w:rsidR="008602CC">
        <w:rPr>
          <w:lang w:val="en-NZ"/>
        </w:rPr>
        <w:t>w</w:t>
      </w:r>
      <w:r w:rsidR="007D6F63">
        <w:rPr>
          <w:lang w:val="en-NZ"/>
        </w:rPr>
        <w:t>C</w:t>
      </w:r>
      <w:r w:rsidR="00F4167E">
        <w:rPr>
          <w:lang w:val="en-NZ"/>
        </w:rPr>
        <w:t>, KPMG</w:t>
      </w:r>
      <w:r w:rsidR="008602CC">
        <w:rPr>
          <w:lang w:val="en-NZ"/>
        </w:rPr>
        <w:t>)</w:t>
      </w:r>
    </w:p>
    <w:p w:rsidR="00EB3B2D" w:rsidRDefault="00EB3B2D" w:rsidP="00D95FF8">
      <w:pPr>
        <w:tabs>
          <w:tab w:val="left" w:pos="5295"/>
        </w:tabs>
        <w:rPr>
          <w:lang w:val="en-NZ"/>
        </w:rPr>
      </w:pPr>
    </w:p>
    <w:p w:rsidR="00EB3B2D" w:rsidRDefault="007D6F63" w:rsidP="00D95FF8">
      <w:pPr>
        <w:tabs>
          <w:tab w:val="left" w:pos="5295"/>
        </w:tabs>
        <w:rPr>
          <w:lang w:val="en-NZ"/>
        </w:rPr>
      </w:pPr>
      <w:r>
        <w:rPr>
          <w:lang w:val="en-NZ"/>
        </w:rPr>
        <w:t>H</w:t>
      </w:r>
      <w:r w:rsidR="00EB3B2D">
        <w:rPr>
          <w:lang w:val="en-NZ"/>
        </w:rPr>
        <w:t>olding costs for property subject to the bright-line test should be deductible.</w:t>
      </w:r>
    </w:p>
    <w:p w:rsidR="00EB3B2D" w:rsidRDefault="00EB3B2D" w:rsidP="00D95FF8">
      <w:pPr>
        <w:tabs>
          <w:tab w:val="left" w:pos="5295"/>
        </w:tabs>
        <w:rPr>
          <w:lang w:val="en-NZ"/>
        </w:rPr>
      </w:pPr>
    </w:p>
    <w:p w:rsidR="00EB3B2D" w:rsidRDefault="007D6F63" w:rsidP="00D95FF8">
      <w:pPr>
        <w:tabs>
          <w:tab w:val="left" w:pos="5295"/>
        </w:tabs>
        <w:rPr>
          <w:lang w:val="en-NZ"/>
        </w:rPr>
      </w:pPr>
      <w:r>
        <w:rPr>
          <w:lang w:val="en-NZ"/>
        </w:rPr>
        <w:t>T</w:t>
      </w:r>
      <w:r w:rsidR="00EB3B2D">
        <w:rPr>
          <w:lang w:val="en-NZ"/>
        </w:rPr>
        <w:t>his would be the result if the standard deductibility rules applied to the property</w:t>
      </w:r>
      <w:r>
        <w:rPr>
          <w:lang w:val="en-NZ"/>
        </w:rPr>
        <w:t>, otherwise</w:t>
      </w:r>
      <w:r w:rsidR="00EB3B2D">
        <w:rPr>
          <w:lang w:val="en-NZ"/>
        </w:rPr>
        <w:t xml:space="preserve"> the legislation should explicitly provide an automatic right of deduction for the property.</w:t>
      </w:r>
    </w:p>
    <w:p w:rsidR="00EB3B2D" w:rsidRDefault="00EB3B2D" w:rsidP="00D95FF8">
      <w:pPr>
        <w:tabs>
          <w:tab w:val="left" w:pos="5295"/>
        </w:tabs>
        <w:rPr>
          <w:lang w:val="en-NZ"/>
        </w:rPr>
      </w:pPr>
    </w:p>
    <w:p w:rsidR="00EB3B2D" w:rsidRDefault="007D6F63" w:rsidP="00D95FF8">
      <w:pPr>
        <w:tabs>
          <w:tab w:val="left" w:pos="5295"/>
        </w:tabs>
        <w:rPr>
          <w:lang w:val="en-NZ"/>
        </w:rPr>
      </w:pPr>
      <w:r>
        <w:rPr>
          <w:lang w:val="en-NZ"/>
        </w:rPr>
        <w:t>An</w:t>
      </w:r>
      <w:r w:rsidR="00EB3B2D">
        <w:rPr>
          <w:lang w:val="en-NZ"/>
        </w:rPr>
        <w:t xml:space="preserve"> explicit provision would be consistent with how deductions are treated for other revenue account property,</w:t>
      </w:r>
      <w:r w:rsidR="001D151F">
        <w:rPr>
          <w:lang w:val="en-NZ"/>
        </w:rPr>
        <w:t xml:space="preserve"> more equitable,</w:t>
      </w:r>
      <w:r w:rsidR="00492FC0">
        <w:rPr>
          <w:lang w:val="en-NZ"/>
        </w:rPr>
        <w:t xml:space="preserve"> and</w:t>
      </w:r>
      <w:r w:rsidR="00EB3B2D">
        <w:rPr>
          <w:lang w:val="en-NZ"/>
        </w:rPr>
        <w:t xml:space="preserve"> allowing deductions ensures that </w:t>
      </w:r>
      <w:r w:rsidR="001D151F">
        <w:rPr>
          <w:lang w:val="en-NZ"/>
        </w:rPr>
        <w:t>only the gain on the sale</w:t>
      </w:r>
      <w:r>
        <w:rPr>
          <w:lang w:val="en-NZ"/>
        </w:rPr>
        <w:t xml:space="preserve"> is taxed</w:t>
      </w:r>
      <w:r w:rsidR="001D151F">
        <w:rPr>
          <w:lang w:val="en-NZ"/>
        </w:rPr>
        <w:t>.</w:t>
      </w:r>
    </w:p>
    <w:p w:rsidR="00492FC0" w:rsidRDefault="00492FC0" w:rsidP="00D95FF8">
      <w:pPr>
        <w:tabs>
          <w:tab w:val="left" w:pos="5295"/>
        </w:tabs>
        <w:rPr>
          <w:lang w:val="en-NZ"/>
        </w:rPr>
      </w:pPr>
    </w:p>
    <w:p w:rsidR="00492FC0" w:rsidRDefault="007D6F63" w:rsidP="00D95FF8">
      <w:pPr>
        <w:tabs>
          <w:tab w:val="left" w:pos="5295"/>
        </w:tabs>
        <w:rPr>
          <w:lang w:val="en-NZ"/>
        </w:rPr>
      </w:pPr>
      <w:r>
        <w:rPr>
          <w:lang w:val="en-NZ"/>
        </w:rPr>
        <w:t>C</w:t>
      </w:r>
      <w:r w:rsidR="00492FC0">
        <w:rPr>
          <w:lang w:val="en-NZ"/>
        </w:rPr>
        <w:t>urrent rules provide a deduction for holding cost</w:t>
      </w:r>
      <w:r w:rsidR="00FF169B">
        <w:rPr>
          <w:lang w:val="en-NZ"/>
        </w:rPr>
        <w:t>s</w:t>
      </w:r>
      <w:r w:rsidR="00492FC0">
        <w:rPr>
          <w:lang w:val="en-NZ"/>
        </w:rPr>
        <w:t xml:space="preserve"> </w:t>
      </w:r>
      <w:r>
        <w:rPr>
          <w:lang w:val="en-NZ"/>
        </w:rPr>
        <w:t>as</w:t>
      </w:r>
      <w:r w:rsidR="00492FC0">
        <w:rPr>
          <w:lang w:val="en-NZ"/>
        </w:rPr>
        <w:t xml:space="preserve"> holding costs do not exclusively relate to “living as an individual” and therefore are not subject to the private limitation</w:t>
      </w:r>
      <w:r w:rsidR="00F16E3E">
        <w:rPr>
          <w:lang w:val="en-NZ"/>
        </w:rPr>
        <w:t>.  T</w:t>
      </w:r>
      <w:r w:rsidR="00492FC0">
        <w:rPr>
          <w:lang w:val="en-NZ"/>
        </w:rPr>
        <w:t>his is because these costs are incurred</w:t>
      </w:r>
      <w:r>
        <w:rPr>
          <w:lang w:val="en-NZ"/>
        </w:rPr>
        <w:t xml:space="preserve"> irrespective of</w:t>
      </w:r>
      <w:r w:rsidR="00492FC0">
        <w:rPr>
          <w:lang w:val="en-NZ"/>
        </w:rPr>
        <w:t xml:space="preserve"> whether the property was used or available for use for private purposes.</w:t>
      </w:r>
    </w:p>
    <w:p w:rsidR="00492FC0" w:rsidRDefault="00492FC0" w:rsidP="00D95FF8">
      <w:pPr>
        <w:tabs>
          <w:tab w:val="left" w:pos="5295"/>
        </w:tabs>
        <w:rPr>
          <w:lang w:val="en-NZ"/>
        </w:rPr>
      </w:pPr>
    </w:p>
    <w:p w:rsidR="00492FC0" w:rsidRDefault="00492FC0" w:rsidP="00D95FF8">
      <w:pPr>
        <w:tabs>
          <w:tab w:val="left" w:pos="5295"/>
        </w:tabs>
        <w:rPr>
          <w:lang w:val="en-NZ"/>
        </w:rPr>
      </w:pPr>
      <w:r>
        <w:rPr>
          <w:lang w:val="en-NZ"/>
        </w:rPr>
        <w:t xml:space="preserve">Inland Revenue should provide guidance on this point in a </w:t>
      </w:r>
      <w:r w:rsidRPr="009B557D">
        <w:rPr>
          <w:i/>
          <w:lang w:val="en-NZ"/>
        </w:rPr>
        <w:t>Tax Information Bulletin</w:t>
      </w:r>
      <w:r>
        <w:rPr>
          <w:lang w:val="en-NZ"/>
        </w:rPr>
        <w:t>.</w:t>
      </w:r>
    </w:p>
    <w:p w:rsidR="00D95FF8" w:rsidRPr="00DB4CC5" w:rsidRDefault="00D95FF8" w:rsidP="00D95FF8">
      <w:pPr>
        <w:rPr>
          <w:lang w:val="en-NZ"/>
        </w:rPr>
      </w:pPr>
    </w:p>
    <w:p w:rsidR="00D95FF8" w:rsidRPr="00DB4CC5" w:rsidRDefault="00D95FF8" w:rsidP="00D95FF8">
      <w:pPr>
        <w:pStyle w:val="Heading2"/>
        <w:rPr>
          <w:lang w:val="en-NZ"/>
        </w:rPr>
      </w:pPr>
      <w:r w:rsidRPr="00DB4CC5">
        <w:rPr>
          <w:lang w:val="en-NZ"/>
        </w:rPr>
        <w:t>Comment</w:t>
      </w:r>
    </w:p>
    <w:p w:rsidR="00D95FF8" w:rsidRPr="00DB4CC5" w:rsidRDefault="00D95FF8" w:rsidP="00D95FF8">
      <w:pPr>
        <w:rPr>
          <w:lang w:val="en-NZ"/>
        </w:rPr>
      </w:pPr>
    </w:p>
    <w:p w:rsidR="00D95FF8" w:rsidRDefault="00E328DD" w:rsidP="00D95FF8">
      <w:pPr>
        <w:rPr>
          <w:lang w:val="en-NZ"/>
        </w:rPr>
      </w:pPr>
      <w:r>
        <w:rPr>
          <w:lang w:val="en-NZ"/>
        </w:rPr>
        <w:t xml:space="preserve">The </w:t>
      </w:r>
      <w:r w:rsidR="007D6F63">
        <w:rPr>
          <w:lang w:val="en-NZ"/>
        </w:rPr>
        <w:t>b</w:t>
      </w:r>
      <w:r>
        <w:rPr>
          <w:lang w:val="en-NZ"/>
        </w:rPr>
        <w:t xml:space="preserve">ill </w:t>
      </w:r>
      <w:r w:rsidR="00BC0348">
        <w:rPr>
          <w:lang w:val="en-NZ"/>
        </w:rPr>
        <w:t xml:space="preserve">proceeds on the basis </w:t>
      </w:r>
      <w:r>
        <w:rPr>
          <w:lang w:val="en-NZ"/>
        </w:rPr>
        <w:t>that holding costs for property subject to the bright-line are deductible according to ordinary tax rules</w:t>
      </w:r>
      <w:r w:rsidR="00F16E3E">
        <w:rPr>
          <w:lang w:val="en-NZ"/>
        </w:rPr>
        <w:t>.  N</w:t>
      </w:r>
      <w:r>
        <w:rPr>
          <w:lang w:val="en-NZ"/>
        </w:rPr>
        <w:t>o separate rules for the bright-line are proposed.</w:t>
      </w:r>
    </w:p>
    <w:p w:rsidR="00E328DD" w:rsidRDefault="00E328DD" w:rsidP="00D95FF8">
      <w:pPr>
        <w:rPr>
          <w:lang w:val="en-NZ"/>
        </w:rPr>
      </w:pPr>
    </w:p>
    <w:p w:rsidR="00E328DD" w:rsidRDefault="00E328DD" w:rsidP="00D95FF8">
      <w:pPr>
        <w:rPr>
          <w:lang w:val="en-NZ"/>
        </w:rPr>
      </w:pPr>
      <w:r>
        <w:rPr>
          <w:lang w:val="en-NZ"/>
        </w:rPr>
        <w:t>This is to ensure that the rules for deductions for the bright-line are aligned with the rules for deductions generally</w:t>
      </w:r>
      <w:r w:rsidR="00F16E3E">
        <w:rPr>
          <w:lang w:val="en-NZ"/>
        </w:rPr>
        <w:t>.  T</w:t>
      </w:r>
      <w:r>
        <w:rPr>
          <w:lang w:val="en-NZ"/>
        </w:rPr>
        <w:t xml:space="preserve">his ensures that the framework for deductions is maintained and ensures there are no distortions caused by having people wanting to </w:t>
      </w:r>
      <w:r w:rsidR="0051560E">
        <w:rPr>
          <w:lang w:val="en-NZ"/>
        </w:rPr>
        <w:t>accelerate or delay sales into or outside of the</w:t>
      </w:r>
      <w:r>
        <w:rPr>
          <w:lang w:val="en-NZ"/>
        </w:rPr>
        <w:t xml:space="preserve"> bright-line period </w:t>
      </w:r>
      <w:r w:rsidR="007D6F63">
        <w:rPr>
          <w:lang w:val="en-NZ"/>
        </w:rPr>
        <w:t>as a result of the</w:t>
      </w:r>
      <w:r>
        <w:rPr>
          <w:lang w:val="en-NZ"/>
        </w:rPr>
        <w:t xml:space="preserve"> </w:t>
      </w:r>
      <w:r w:rsidR="0051560E">
        <w:rPr>
          <w:lang w:val="en-NZ"/>
        </w:rPr>
        <w:t>differing treatment for deductions.</w:t>
      </w:r>
    </w:p>
    <w:p w:rsidR="00E328DD" w:rsidRDefault="00E328DD" w:rsidP="00D95FF8">
      <w:pPr>
        <w:rPr>
          <w:lang w:val="en-NZ"/>
        </w:rPr>
      </w:pPr>
    </w:p>
    <w:p w:rsidR="00E328DD" w:rsidRPr="00DB4CC5" w:rsidRDefault="00E328DD" w:rsidP="00D95FF8">
      <w:pPr>
        <w:rPr>
          <w:lang w:val="en-NZ"/>
        </w:rPr>
      </w:pPr>
      <w:r>
        <w:rPr>
          <w:lang w:val="en-NZ"/>
        </w:rPr>
        <w:t xml:space="preserve">In accordance with the framework for deductions, deductions </w:t>
      </w:r>
      <w:r w:rsidR="005A798B">
        <w:rPr>
          <w:lang w:val="en-NZ"/>
        </w:rPr>
        <w:t>are not allowed for expenditure to the extent to which it is of a private or domestic nature</w:t>
      </w:r>
      <w:r w:rsidR="00F16E3E">
        <w:rPr>
          <w:lang w:val="en-NZ"/>
        </w:rPr>
        <w:t>.  T</w:t>
      </w:r>
      <w:r w:rsidR="005A798B">
        <w:rPr>
          <w:lang w:val="en-NZ"/>
        </w:rPr>
        <w:t>his is to ensure that income is calculated before deducting any consumption expenditure.</w:t>
      </w:r>
    </w:p>
    <w:p w:rsidR="00D95FF8" w:rsidRDefault="00D95FF8" w:rsidP="00D95FF8">
      <w:pPr>
        <w:rPr>
          <w:lang w:val="en-NZ"/>
        </w:rPr>
      </w:pPr>
    </w:p>
    <w:p w:rsidR="003D5967" w:rsidRDefault="00EB3B2D" w:rsidP="00D95FF8">
      <w:pPr>
        <w:rPr>
          <w:lang w:val="en-NZ"/>
        </w:rPr>
      </w:pPr>
      <w:r>
        <w:rPr>
          <w:lang w:val="en-NZ"/>
        </w:rPr>
        <w:t xml:space="preserve">We </w:t>
      </w:r>
      <w:r w:rsidR="00492FC0">
        <w:rPr>
          <w:lang w:val="en-NZ"/>
        </w:rPr>
        <w:t xml:space="preserve">do not </w:t>
      </w:r>
      <w:r w:rsidR="007D6F63">
        <w:rPr>
          <w:lang w:val="en-NZ"/>
        </w:rPr>
        <w:t xml:space="preserve">consider </w:t>
      </w:r>
      <w:r>
        <w:rPr>
          <w:lang w:val="en-NZ"/>
        </w:rPr>
        <w:t>that</w:t>
      </w:r>
      <w:r w:rsidR="00492FC0">
        <w:rPr>
          <w:lang w:val="en-NZ"/>
        </w:rPr>
        <w:t xml:space="preserve"> current deductibility rules would allow for</w:t>
      </w:r>
      <w:r>
        <w:rPr>
          <w:lang w:val="en-NZ"/>
        </w:rPr>
        <w:t xml:space="preserve"> holding costs</w:t>
      </w:r>
      <w:r w:rsidR="00492FC0">
        <w:rPr>
          <w:lang w:val="en-NZ"/>
        </w:rPr>
        <w:t xml:space="preserve"> to be deductible</w:t>
      </w:r>
      <w:r>
        <w:rPr>
          <w:lang w:val="en-NZ"/>
        </w:rPr>
        <w:t xml:space="preserve"> for revenue account property when the property is used</w:t>
      </w:r>
      <w:r w:rsidR="003D5967">
        <w:rPr>
          <w:lang w:val="en-NZ"/>
        </w:rPr>
        <w:t xml:space="preserve"> only</w:t>
      </w:r>
      <w:r>
        <w:rPr>
          <w:lang w:val="en-NZ"/>
        </w:rPr>
        <w:t xml:space="preserve"> for private purposes.</w:t>
      </w:r>
    </w:p>
    <w:p w:rsidR="003D5967" w:rsidRDefault="003D5967" w:rsidP="00D95FF8">
      <w:pPr>
        <w:rPr>
          <w:lang w:val="en-NZ"/>
        </w:rPr>
      </w:pPr>
    </w:p>
    <w:p w:rsidR="00B95617" w:rsidRDefault="003D5967" w:rsidP="00D95FF8">
      <w:pPr>
        <w:rPr>
          <w:lang w:val="en-NZ"/>
        </w:rPr>
      </w:pPr>
      <w:r>
        <w:rPr>
          <w:lang w:val="en-NZ"/>
        </w:rPr>
        <w:t>The deductibility of holding costs is a current issue, which is not created or limited to the bright-line test</w:t>
      </w:r>
      <w:r w:rsidR="00F16E3E">
        <w:rPr>
          <w:lang w:val="en-NZ"/>
        </w:rPr>
        <w:t>.  W</w:t>
      </w:r>
      <w:r>
        <w:rPr>
          <w:lang w:val="en-NZ"/>
        </w:rPr>
        <w:t>e recognise there should be greater certainty on the deductibility of holding costs in relation to the land sale rules</w:t>
      </w:r>
      <w:r w:rsidR="0063104B">
        <w:rPr>
          <w:lang w:val="en-NZ"/>
        </w:rPr>
        <w:t xml:space="preserve"> and other revenue account property</w:t>
      </w:r>
      <w:r>
        <w:rPr>
          <w:lang w:val="en-NZ"/>
        </w:rPr>
        <w:t xml:space="preserve"> generally</w:t>
      </w:r>
      <w:r w:rsidR="00F16E3E">
        <w:rPr>
          <w:lang w:val="en-NZ"/>
        </w:rPr>
        <w:t>.  O</w:t>
      </w:r>
      <w:r>
        <w:rPr>
          <w:lang w:val="en-NZ"/>
        </w:rPr>
        <w:t>fficials intend to consider this area further.</w:t>
      </w:r>
    </w:p>
    <w:p w:rsidR="00B95617" w:rsidRPr="00DB4CC5" w:rsidRDefault="00B95617" w:rsidP="00D95FF8">
      <w:pPr>
        <w:rPr>
          <w:lang w:val="en-NZ"/>
        </w:rPr>
      </w:pPr>
    </w:p>
    <w:p w:rsidR="00D95FF8" w:rsidRPr="00DB4CC5" w:rsidRDefault="00D95FF8" w:rsidP="00D95FF8">
      <w:pPr>
        <w:pStyle w:val="Heading2"/>
        <w:rPr>
          <w:lang w:val="en-NZ"/>
        </w:rPr>
      </w:pPr>
      <w:r w:rsidRPr="00DB4CC5">
        <w:rPr>
          <w:lang w:val="en-NZ"/>
        </w:rPr>
        <w:t>Recommendation</w:t>
      </w:r>
    </w:p>
    <w:p w:rsidR="00D95FF8" w:rsidRPr="00DB4CC5" w:rsidRDefault="00D95FF8" w:rsidP="00D95FF8">
      <w:pPr>
        <w:rPr>
          <w:lang w:val="en-NZ"/>
        </w:rPr>
      </w:pPr>
    </w:p>
    <w:p w:rsidR="00D95FF8" w:rsidRPr="00DB4CC5" w:rsidRDefault="00D95FF8" w:rsidP="00D95FF8">
      <w:pPr>
        <w:rPr>
          <w:lang w:val="en-NZ"/>
        </w:rPr>
      </w:pPr>
      <w:r w:rsidRPr="00DB4CC5">
        <w:rPr>
          <w:lang w:val="en-NZ"/>
        </w:rPr>
        <w:t xml:space="preserve">That the submission be </w:t>
      </w:r>
      <w:r w:rsidR="003D5967">
        <w:rPr>
          <w:lang w:val="en-NZ"/>
        </w:rPr>
        <w:t>declined.</w:t>
      </w:r>
    </w:p>
    <w:p w:rsidR="0061644E" w:rsidRDefault="0061644E">
      <w:pPr>
        <w:jc w:val="left"/>
        <w:rPr>
          <w:b/>
          <w:caps/>
          <w:sz w:val="26"/>
          <w:lang w:val="en-NZ"/>
        </w:rPr>
      </w:pPr>
      <w:r>
        <w:br w:type="page"/>
      </w:r>
    </w:p>
    <w:p w:rsidR="00D95FF8" w:rsidRPr="00DB4CC5" w:rsidRDefault="00D95FF8" w:rsidP="00D95FF8">
      <w:pPr>
        <w:pStyle w:val="Heading1"/>
      </w:pPr>
      <w:bookmarkStart w:id="72" w:name="_Toc432411960"/>
      <w:r>
        <w:t>Ring-fencing losses</w:t>
      </w:r>
      <w:bookmarkEnd w:id="72"/>
    </w:p>
    <w:p w:rsidR="00D95FF8" w:rsidRPr="00DB4CC5" w:rsidRDefault="00D95FF8" w:rsidP="00D95FF8">
      <w:pPr>
        <w:rPr>
          <w:lang w:val="en-NZ"/>
        </w:rPr>
      </w:pPr>
    </w:p>
    <w:p w:rsidR="00D95FF8" w:rsidRDefault="00D95FF8" w:rsidP="00D95FF8">
      <w:pPr>
        <w:pStyle w:val="Heading3"/>
        <w:rPr>
          <w:lang w:val="en-NZ"/>
        </w:rPr>
      </w:pPr>
      <w:r>
        <w:rPr>
          <w:lang w:val="en-NZ"/>
        </w:rPr>
        <w:t xml:space="preserve">Clause </w:t>
      </w:r>
      <w:r w:rsidR="001C3067">
        <w:rPr>
          <w:lang w:val="en-NZ"/>
        </w:rPr>
        <w:t>8</w:t>
      </w:r>
    </w:p>
    <w:p w:rsidR="00D95FF8" w:rsidRDefault="00D95FF8" w:rsidP="00D95FF8">
      <w:pPr>
        <w:rPr>
          <w:lang w:val="en-NZ"/>
        </w:rPr>
      </w:pPr>
    </w:p>
    <w:p w:rsidR="00D95FF8" w:rsidRPr="00DB4CC5" w:rsidRDefault="00D95FF8" w:rsidP="00D95FF8">
      <w:pPr>
        <w:rPr>
          <w:lang w:val="en-NZ"/>
        </w:rPr>
      </w:pPr>
    </w:p>
    <w:p w:rsidR="00D95FF8" w:rsidRPr="00DB4CC5" w:rsidRDefault="00D95FF8" w:rsidP="00D95FF8">
      <w:pPr>
        <w:pStyle w:val="Heading5"/>
        <w:ind w:left="794" w:hanging="794"/>
        <w:rPr>
          <w:lang w:val="en-NZ"/>
        </w:rPr>
      </w:pPr>
      <w:bookmarkStart w:id="73" w:name="_Toc432411961"/>
      <w:r w:rsidRPr="00DB4CC5">
        <w:rPr>
          <w:lang w:val="en-NZ"/>
        </w:rPr>
        <w:t>Issue:</w:t>
      </w:r>
      <w:r w:rsidRPr="00DB4CC5">
        <w:rPr>
          <w:lang w:val="en-NZ"/>
        </w:rPr>
        <w:tab/>
      </w:r>
      <w:r w:rsidR="003C0E48">
        <w:rPr>
          <w:lang w:val="en-NZ"/>
        </w:rPr>
        <w:t>Opposition to ring-fencing losses</w:t>
      </w:r>
      <w:bookmarkEnd w:id="73"/>
    </w:p>
    <w:p w:rsidR="00D95FF8" w:rsidRPr="00DB4CC5" w:rsidRDefault="00D95FF8" w:rsidP="00D95FF8">
      <w:pPr>
        <w:rPr>
          <w:lang w:val="en-NZ"/>
        </w:rPr>
      </w:pPr>
    </w:p>
    <w:p w:rsidR="00D95FF8" w:rsidRPr="00DB4CC5" w:rsidRDefault="00D95FF8" w:rsidP="00D95FF8">
      <w:pPr>
        <w:rPr>
          <w:lang w:val="en-NZ"/>
        </w:rPr>
      </w:pPr>
    </w:p>
    <w:p w:rsidR="00D95FF8" w:rsidRPr="00DB4CC5" w:rsidRDefault="00D95FF8" w:rsidP="00D95FF8">
      <w:pPr>
        <w:pStyle w:val="Heading2"/>
        <w:rPr>
          <w:lang w:val="en-NZ"/>
        </w:rPr>
      </w:pPr>
      <w:r w:rsidRPr="00DB4CC5">
        <w:rPr>
          <w:lang w:val="en-NZ"/>
        </w:rPr>
        <w:t>Submission</w:t>
      </w:r>
    </w:p>
    <w:p w:rsidR="00D95FF8" w:rsidRPr="00DB4CC5" w:rsidRDefault="00D95FF8" w:rsidP="00D95FF8">
      <w:pPr>
        <w:pStyle w:val="Heading4"/>
        <w:rPr>
          <w:lang w:val="en-NZ"/>
        </w:rPr>
      </w:pPr>
      <w:r w:rsidRPr="00DB4CC5">
        <w:rPr>
          <w:lang w:val="en-NZ"/>
        </w:rPr>
        <w:t>(</w:t>
      </w:r>
      <w:r w:rsidR="003C0E48">
        <w:rPr>
          <w:lang w:val="en-NZ"/>
        </w:rPr>
        <w:t xml:space="preserve">New Zealand Property Investors’ Federation </w:t>
      </w:r>
      <w:proofErr w:type="spellStart"/>
      <w:r w:rsidR="003C0E48">
        <w:rPr>
          <w:lang w:val="en-NZ"/>
        </w:rPr>
        <w:t>Inc</w:t>
      </w:r>
      <w:proofErr w:type="spellEnd"/>
      <w:r w:rsidR="006F08A6">
        <w:rPr>
          <w:lang w:val="en-NZ"/>
        </w:rPr>
        <w:t>, Chartered Accountants Australia and New Zealand</w:t>
      </w:r>
      <w:r w:rsidR="00915503">
        <w:rPr>
          <w:lang w:val="en-NZ"/>
        </w:rPr>
        <w:t xml:space="preserve">, </w:t>
      </w:r>
      <w:proofErr w:type="spellStart"/>
      <w:r w:rsidR="00915503">
        <w:rPr>
          <w:lang w:val="en-NZ"/>
        </w:rPr>
        <w:t>nsaTax</w:t>
      </w:r>
      <w:proofErr w:type="spellEnd"/>
      <w:r w:rsidR="00B95617">
        <w:rPr>
          <w:lang w:val="en-NZ"/>
        </w:rPr>
        <w:t>, New Zealand Law Society</w:t>
      </w:r>
      <w:r w:rsidR="00B91543">
        <w:rPr>
          <w:lang w:val="en-NZ"/>
        </w:rPr>
        <w:t>, EY</w:t>
      </w:r>
      <w:r w:rsidR="008602CC">
        <w:rPr>
          <w:lang w:val="en-NZ"/>
        </w:rPr>
        <w:t xml:space="preserve">, </w:t>
      </w:r>
      <w:r w:rsidR="007D6F63">
        <w:rPr>
          <w:lang w:val="en-NZ"/>
        </w:rPr>
        <w:t>P</w:t>
      </w:r>
      <w:r w:rsidR="008602CC">
        <w:rPr>
          <w:lang w:val="en-NZ"/>
        </w:rPr>
        <w:t>w</w:t>
      </w:r>
      <w:r w:rsidR="007D6F63">
        <w:rPr>
          <w:lang w:val="en-NZ"/>
        </w:rPr>
        <w:t>C</w:t>
      </w:r>
      <w:r w:rsidR="006D646D">
        <w:rPr>
          <w:lang w:val="en-NZ"/>
        </w:rPr>
        <w:t>, Chapman Tripp</w:t>
      </w:r>
      <w:r w:rsidR="00C61EB6">
        <w:rPr>
          <w:lang w:val="en-NZ"/>
        </w:rPr>
        <w:t>, KPMG</w:t>
      </w:r>
      <w:r w:rsidRPr="00DB4CC5">
        <w:rPr>
          <w:lang w:val="en-NZ"/>
        </w:rPr>
        <w:t>)</w:t>
      </w:r>
    </w:p>
    <w:p w:rsidR="00D95FF8" w:rsidRDefault="00D95FF8" w:rsidP="00D95FF8">
      <w:pPr>
        <w:tabs>
          <w:tab w:val="left" w:pos="5295"/>
        </w:tabs>
        <w:rPr>
          <w:lang w:val="en-NZ"/>
        </w:rPr>
      </w:pPr>
    </w:p>
    <w:p w:rsidR="001D151F" w:rsidRDefault="001D151F" w:rsidP="00D95FF8">
      <w:pPr>
        <w:tabs>
          <w:tab w:val="left" w:pos="5295"/>
        </w:tabs>
        <w:rPr>
          <w:lang w:val="en-NZ"/>
        </w:rPr>
      </w:pPr>
      <w:r>
        <w:rPr>
          <w:lang w:val="en-NZ"/>
        </w:rPr>
        <w:t>Submitters did not support the proposal to ring-fence losses from sales taxable solely due to the bright-line test.</w:t>
      </w:r>
    </w:p>
    <w:p w:rsidR="001D151F" w:rsidRDefault="001D151F" w:rsidP="00D95FF8">
      <w:pPr>
        <w:tabs>
          <w:tab w:val="left" w:pos="5295"/>
        </w:tabs>
        <w:rPr>
          <w:lang w:val="en-NZ"/>
        </w:rPr>
      </w:pPr>
    </w:p>
    <w:p w:rsidR="001D151F" w:rsidRDefault="001D151F" w:rsidP="00D95FF8">
      <w:pPr>
        <w:tabs>
          <w:tab w:val="left" w:pos="5295"/>
        </w:tabs>
        <w:rPr>
          <w:lang w:val="en-NZ"/>
        </w:rPr>
      </w:pPr>
      <w:r>
        <w:rPr>
          <w:lang w:val="en-NZ"/>
        </w:rPr>
        <w:t>Reasons given for this were:</w:t>
      </w:r>
    </w:p>
    <w:p w:rsidR="001D151F" w:rsidRPr="00DB4CC5" w:rsidRDefault="001D151F" w:rsidP="00D95FF8">
      <w:pPr>
        <w:tabs>
          <w:tab w:val="left" w:pos="5295"/>
        </w:tabs>
        <w:rPr>
          <w:lang w:val="en-NZ"/>
        </w:rPr>
      </w:pPr>
    </w:p>
    <w:p w:rsidR="006F08A6" w:rsidRPr="0061644E" w:rsidRDefault="007D6F63" w:rsidP="00DC6603">
      <w:pPr>
        <w:pStyle w:val="Bullets"/>
        <w:tabs>
          <w:tab w:val="clear" w:pos="851"/>
          <w:tab w:val="num" w:pos="567"/>
        </w:tabs>
        <w:spacing w:after="140"/>
        <w:ind w:left="567" w:hanging="567"/>
        <w:jc w:val="both"/>
        <w:rPr>
          <w:lang w:val="en-NZ"/>
        </w:rPr>
      </w:pPr>
      <w:r>
        <w:rPr>
          <w:lang w:val="en-NZ"/>
        </w:rPr>
        <w:t>G</w:t>
      </w:r>
      <w:r w:rsidR="006F08A6" w:rsidRPr="001D151F">
        <w:rPr>
          <w:lang w:val="en-NZ"/>
        </w:rPr>
        <w:t>ains and losses that arise under the bright-line test should be treated in the same manner as other gains and losses that arise under the o</w:t>
      </w:r>
      <w:r w:rsidR="00B069B5">
        <w:rPr>
          <w:lang w:val="en-NZ"/>
        </w:rPr>
        <w:t>ther sections of subpart CB</w:t>
      </w:r>
      <w:r>
        <w:rPr>
          <w:lang w:val="en-NZ"/>
        </w:rPr>
        <w:t>.</w:t>
      </w:r>
    </w:p>
    <w:p w:rsidR="00915503" w:rsidRPr="0061644E" w:rsidRDefault="007D6F63" w:rsidP="00DC6603">
      <w:pPr>
        <w:pStyle w:val="Bullets"/>
        <w:tabs>
          <w:tab w:val="clear" w:pos="851"/>
          <w:tab w:val="num" w:pos="567"/>
        </w:tabs>
        <w:spacing w:after="140"/>
        <w:ind w:left="567" w:hanging="567"/>
        <w:jc w:val="both"/>
        <w:rPr>
          <w:lang w:val="en-NZ"/>
        </w:rPr>
      </w:pPr>
      <w:r>
        <w:rPr>
          <w:lang w:val="en-NZ"/>
        </w:rPr>
        <w:t>T</w:t>
      </w:r>
      <w:r w:rsidR="006F08A6" w:rsidRPr="001D151F">
        <w:rPr>
          <w:lang w:val="en-NZ"/>
        </w:rPr>
        <w:t>axpayers will have an incentive to argue that they had an intention of resale for any losses, which will increase compliance costs and r</w:t>
      </w:r>
      <w:r w:rsidR="00B069B5">
        <w:rPr>
          <w:lang w:val="en-NZ"/>
        </w:rPr>
        <w:t>ender ring-fencing ineffective</w:t>
      </w:r>
      <w:r>
        <w:rPr>
          <w:lang w:val="en-NZ"/>
        </w:rPr>
        <w:t>.</w:t>
      </w:r>
    </w:p>
    <w:p w:rsidR="00915503" w:rsidRPr="0061644E" w:rsidRDefault="007D6F63" w:rsidP="00DC6603">
      <w:pPr>
        <w:pStyle w:val="Bullets"/>
        <w:tabs>
          <w:tab w:val="clear" w:pos="851"/>
          <w:tab w:val="num" w:pos="567"/>
        </w:tabs>
        <w:spacing w:after="140"/>
        <w:ind w:left="567" w:hanging="567"/>
        <w:jc w:val="both"/>
        <w:rPr>
          <w:lang w:val="en-NZ"/>
        </w:rPr>
      </w:pPr>
      <w:r>
        <w:rPr>
          <w:lang w:val="en-NZ"/>
        </w:rPr>
        <w:t>R</w:t>
      </w:r>
      <w:r w:rsidR="00915503" w:rsidRPr="001D151F">
        <w:rPr>
          <w:lang w:val="en-NZ"/>
        </w:rPr>
        <w:t>ing-fencing losses will distort investment decisions and will encourage economically inefficient behaviour</w:t>
      </w:r>
      <w:r w:rsidR="00F16E3E">
        <w:rPr>
          <w:lang w:val="en-NZ"/>
        </w:rPr>
        <w:t>.  T</w:t>
      </w:r>
      <w:r w:rsidR="00915503" w:rsidRPr="001D151F">
        <w:rPr>
          <w:lang w:val="en-NZ"/>
        </w:rPr>
        <w:t xml:space="preserve">he bright-line test will capture many situations where the taxpayer is forced to sell due to financial </w:t>
      </w:r>
      <w:r w:rsidR="001C3067" w:rsidRPr="001D151F">
        <w:rPr>
          <w:lang w:val="en-NZ"/>
        </w:rPr>
        <w:t>strife;</w:t>
      </w:r>
      <w:r w:rsidR="00915503" w:rsidRPr="001D151F">
        <w:rPr>
          <w:lang w:val="en-NZ"/>
        </w:rPr>
        <w:t xml:space="preserve"> losses in </w:t>
      </w:r>
      <w:r>
        <w:rPr>
          <w:lang w:val="en-NZ"/>
        </w:rPr>
        <w:t>these</w:t>
      </w:r>
      <w:r w:rsidRPr="001D151F">
        <w:rPr>
          <w:lang w:val="en-NZ"/>
        </w:rPr>
        <w:t xml:space="preserve"> </w:t>
      </w:r>
      <w:r w:rsidR="00915503" w:rsidRPr="001D151F">
        <w:rPr>
          <w:lang w:val="en-NZ"/>
        </w:rPr>
        <w:t>cases should be dealt wi</w:t>
      </w:r>
      <w:r w:rsidR="00B069B5">
        <w:rPr>
          <w:lang w:val="en-NZ"/>
        </w:rPr>
        <w:t>th on the same footing as gains</w:t>
      </w:r>
      <w:r>
        <w:rPr>
          <w:lang w:val="en-NZ"/>
        </w:rPr>
        <w:t>.</w:t>
      </w:r>
    </w:p>
    <w:p w:rsidR="008602CC" w:rsidRPr="0061644E" w:rsidRDefault="007D6F63" w:rsidP="00DC6603">
      <w:pPr>
        <w:pStyle w:val="Bullets"/>
        <w:tabs>
          <w:tab w:val="clear" w:pos="851"/>
          <w:tab w:val="num" w:pos="567"/>
        </w:tabs>
        <w:spacing w:after="140"/>
        <w:ind w:left="567" w:hanging="567"/>
        <w:jc w:val="both"/>
        <w:rPr>
          <w:lang w:val="en-NZ"/>
        </w:rPr>
      </w:pPr>
      <w:r>
        <w:rPr>
          <w:lang w:val="en-NZ"/>
        </w:rPr>
        <w:t>R</w:t>
      </w:r>
      <w:r w:rsidR="00915503" w:rsidRPr="001D151F">
        <w:rPr>
          <w:lang w:val="en-NZ"/>
        </w:rPr>
        <w:t>ing-fencing would mean that many pe</w:t>
      </w:r>
      <w:r w:rsidR="00B069B5">
        <w:rPr>
          <w:lang w:val="en-NZ"/>
        </w:rPr>
        <w:t>ople will have unusable losses</w:t>
      </w:r>
      <w:r>
        <w:rPr>
          <w:lang w:val="en-NZ"/>
        </w:rPr>
        <w:t>.</w:t>
      </w:r>
    </w:p>
    <w:p w:rsidR="00226D43" w:rsidRPr="0061644E" w:rsidRDefault="007D6F63" w:rsidP="00DC6603">
      <w:pPr>
        <w:pStyle w:val="Bullets"/>
        <w:tabs>
          <w:tab w:val="clear" w:pos="851"/>
          <w:tab w:val="num" w:pos="567"/>
        </w:tabs>
        <w:spacing w:after="140"/>
        <w:ind w:left="567" w:hanging="567"/>
        <w:jc w:val="both"/>
        <w:rPr>
          <w:lang w:val="en-NZ"/>
        </w:rPr>
      </w:pPr>
      <w:r>
        <w:rPr>
          <w:lang w:val="en-NZ"/>
        </w:rPr>
        <w:t>T</w:t>
      </w:r>
      <w:r w:rsidR="008602CC" w:rsidRPr="001D151F">
        <w:rPr>
          <w:lang w:val="en-NZ"/>
        </w:rPr>
        <w:t>axpayers are unlikely to accelerate property sales to realise losses as the benefit from the tax losses would give rise at most to a 33</w:t>
      </w:r>
      <w:r>
        <w:rPr>
          <w:lang w:val="en-NZ"/>
        </w:rPr>
        <w:t xml:space="preserve"> percent</w:t>
      </w:r>
      <w:r w:rsidR="008602CC" w:rsidRPr="001D151F">
        <w:rPr>
          <w:lang w:val="en-NZ"/>
        </w:rPr>
        <w:t xml:space="preserve"> recovery,</w:t>
      </w:r>
      <w:r>
        <w:rPr>
          <w:lang w:val="en-NZ"/>
        </w:rPr>
        <w:t xml:space="preserve"> while</w:t>
      </w:r>
      <w:r w:rsidR="008602CC" w:rsidRPr="001D151F">
        <w:rPr>
          <w:lang w:val="en-NZ"/>
        </w:rPr>
        <w:t xml:space="preserve"> the true</w:t>
      </w:r>
      <w:r w:rsidR="00B069B5">
        <w:rPr>
          <w:lang w:val="en-NZ"/>
        </w:rPr>
        <w:t xml:space="preserve"> economic loss is much greater</w:t>
      </w:r>
      <w:r>
        <w:rPr>
          <w:lang w:val="en-NZ"/>
        </w:rPr>
        <w:t>.</w:t>
      </w:r>
    </w:p>
    <w:p w:rsidR="00226D43" w:rsidRPr="001D151F" w:rsidRDefault="007D6F63" w:rsidP="00DC6603">
      <w:pPr>
        <w:pStyle w:val="Bullets"/>
        <w:tabs>
          <w:tab w:val="clear" w:pos="851"/>
          <w:tab w:val="num" w:pos="567"/>
        </w:tabs>
        <w:ind w:left="567" w:hanging="567"/>
        <w:jc w:val="both"/>
        <w:rPr>
          <w:lang w:val="en-NZ"/>
        </w:rPr>
      </w:pPr>
      <w:r>
        <w:rPr>
          <w:lang w:val="en-NZ"/>
        </w:rPr>
        <w:t>R</w:t>
      </w:r>
      <w:r w:rsidR="00226D43" w:rsidRPr="001D151F">
        <w:rPr>
          <w:lang w:val="en-NZ"/>
        </w:rPr>
        <w:t>ing-fencing creat</w:t>
      </w:r>
      <w:r w:rsidR="00B069B5">
        <w:rPr>
          <w:lang w:val="en-NZ"/>
        </w:rPr>
        <w:t xml:space="preserve">es a </w:t>
      </w:r>
      <w:r>
        <w:rPr>
          <w:lang w:val="en-NZ"/>
        </w:rPr>
        <w:t>“</w:t>
      </w:r>
      <w:r w:rsidR="00B069B5">
        <w:rPr>
          <w:lang w:val="en-NZ"/>
        </w:rPr>
        <w:t>one-way bet</w:t>
      </w:r>
      <w:r>
        <w:rPr>
          <w:lang w:val="en-NZ"/>
        </w:rPr>
        <w:t>”</w:t>
      </w:r>
      <w:r w:rsidR="00B069B5">
        <w:rPr>
          <w:lang w:val="en-NZ"/>
        </w:rPr>
        <w:t xml:space="preserve"> for government.</w:t>
      </w:r>
    </w:p>
    <w:p w:rsidR="00D95FF8" w:rsidRPr="00DB4CC5" w:rsidRDefault="00D95FF8" w:rsidP="00D95FF8">
      <w:pPr>
        <w:rPr>
          <w:lang w:val="en-NZ"/>
        </w:rPr>
      </w:pPr>
    </w:p>
    <w:p w:rsidR="00D95FF8" w:rsidRPr="00DB4CC5" w:rsidRDefault="00D95FF8" w:rsidP="00D95FF8">
      <w:pPr>
        <w:pStyle w:val="Heading2"/>
        <w:rPr>
          <w:lang w:val="en-NZ"/>
        </w:rPr>
      </w:pPr>
      <w:r w:rsidRPr="00DB4CC5">
        <w:rPr>
          <w:lang w:val="en-NZ"/>
        </w:rPr>
        <w:t>Comment</w:t>
      </w:r>
    </w:p>
    <w:p w:rsidR="00D95FF8" w:rsidRPr="00DB4CC5" w:rsidRDefault="00D95FF8" w:rsidP="00D95FF8">
      <w:pPr>
        <w:rPr>
          <w:lang w:val="en-NZ"/>
        </w:rPr>
      </w:pPr>
    </w:p>
    <w:p w:rsidR="005E0F34" w:rsidRDefault="007D6F63" w:rsidP="005E0F34">
      <w:pPr>
        <w:rPr>
          <w:lang w:val="en-NZ"/>
        </w:rPr>
      </w:pPr>
      <w:r>
        <w:rPr>
          <w:lang w:val="en-NZ"/>
        </w:rPr>
        <w:t>T</w:t>
      </w:r>
      <w:r w:rsidR="005E0F34">
        <w:rPr>
          <w:lang w:val="en-NZ"/>
        </w:rPr>
        <w:t>he two-year nature of the bright-line test would cause a significant revenue risk if unrestricted losses were allowed</w:t>
      </w:r>
      <w:r w:rsidR="00F16E3E">
        <w:rPr>
          <w:lang w:val="en-NZ"/>
        </w:rPr>
        <w:t>.  T</w:t>
      </w:r>
      <w:r w:rsidR="005E0F34">
        <w:rPr>
          <w:lang w:val="en-NZ"/>
        </w:rPr>
        <w:t>he bright-line test creates an incentive for people with unrealised losses to accelerate sales and an incentive for those with unrealised gains to defer sales</w:t>
      </w:r>
      <w:r w:rsidR="00F16E3E">
        <w:rPr>
          <w:lang w:val="en-NZ"/>
        </w:rPr>
        <w:t>.  T</w:t>
      </w:r>
      <w:r w:rsidR="005E0F34">
        <w:rPr>
          <w:lang w:val="en-NZ"/>
        </w:rPr>
        <w:t>his means that people are able to maximise claimable losses and minimise taxable gains</w:t>
      </w:r>
      <w:r w:rsidR="00F16E3E">
        <w:rPr>
          <w:lang w:val="en-NZ"/>
        </w:rPr>
        <w:t>.  T</w:t>
      </w:r>
      <w:r w:rsidR="005E0F34">
        <w:rPr>
          <w:lang w:val="en-NZ"/>
        </w:rPr>
        <w:t>his revenue risk would be particularly large</w:t>
      </w:r>
      <w:r>
        <w:rPr>
          <w:lang w:val="en-NZ"/>
        </w:rPr>
        <w:t xml:space="preserve"> in</w:t>
      </w:r>
      <w:r w:rsidR="005E0F34">
        <w:rPr>
          <w:lang w:val="en-NZ"/>
        </w:rPr>
        <w:t xml:space="preserve"> a downturn</w:t>
      </w:r>
      <w:r>
        <w:rPr>
          <w:lang w:val="en-NZ"/>
        </w:rPr>
        <w:t>,</w:t>
      </w:r>
      <w:r w:rsidR="005E0F34">
        <w:rPr>
          <w:lang w:val="en-NZ"/>
        </w:rPr>
        <w:t xml:space="preserve"> whe</w:t>
      </w:r>
      <w:r>
        <w:rPr>
          <w:lang w:val="en-NZ"/>
        </w:rPr>
        <w:t>n</w:t>
      </w:r>
      <w:r w:rsidR="005E0F34">
        <w:rPr>
          <w:lang w:val="en-NZ"/>
        </w:rPr>
        <w:t xml:space="preserve"> people are likely to sell recently acquired property at a loss.</w:t>
      </w:r>
    </w:p>
    <w:p w:rsidR="005E0F34" w:rsidRDefault="005E0F34" w:rsidP="005E0F34">
      <w:pPr>
        <w:rPr>
          <w:lang w:val="en-NZ"/>
        </w:rPr>
      </w:pPr>
    </w:p>
    <w:p w:rsidR="005E0F34" w:rsidRDefault="005E0F34" w:rsidP="005E0F34">
      <w:pPr>
        <w:rPr>
          <w:lang w:val="en-NZ"/>
        </w:rPr>
      </w:pPr>
      <w:r>
        <w:rPr>
          <w:lang w:val="en-NZ"/>
        </w:rPr>
        <w:t xml:space="preserve">Ring-fencing is intended to reduce the revenue risks by removing the ability to offset losses against all other income (such as salary and wages), and therefore </w:t>
      </w:r>
      <w:r w:rsidR="00BC0348">
        <w:rPr>
          <w:lang w:val="en-NZ"/>
        </w:rPr>
        <w:t>reduce</w:t>
      </w:r>
      <w:r>
        <w:rPr>
          <w:lang w:val="en-NZ"/>
        </w:rPr>
        <w:t xml:space="preserve"> the incentive to accelerate losses.</w:t>
      </w:r>
    </w:p>
    <w:p w:rsidR="005E0F34" w:rsidRDefault="005E0F34" w:rsidP="005E0F34">
      <w:pPr>
        <w:rPr>
          <w:lang w:val="en-NZ"/>
        </w:rPr>
      </w:pPr>
    </w:p>
    <w:p w:rsidR="005E0F34" w:rsidRPr="00DB4CC5" w:rsidRDefault="005E0F34" w:rsidP="005E0F34">
      <w:pPr>
        <w:rPr>
          <w:lang w:val="en-NZ"/>
        </w:rPr>
      </w:pPr>
      <w:r>
        <w:rPr>
          <w:lang w:val="en-NZ"/>
        </w:rPr>
        <w:t xml:space="preserve">The </w:t>
      </w:r>
      <w:r w:rsidR="00BC0348">
        <w:rPr>
          <w:lang w:val="en-NZ"/>
        </w:rPr>
        <w:t>proposed</w:t>
      </w:r>
      <w:r>
        <w:rPr>
          <w:lang w:val="en-NZ"/>
        </w:rPr>
        <w:t xml:space="preserve"> ring-fencing is as limited as possible while still addressing the revenue risks</w:t>
      </w:r>
      <w:r w:rsidR="00F16E3E">
        <w:rPr>
          <w:lang w:val="en-NZ"/>
        </w:rPr>
        <w:t>.  T</w:t>
      </w:r>
      <w:r>
        <w:rPr>
          <w:lang w:val="en-NZ"/>
        </w:rPr>
        <w:t>his includes limiting ring-fencing to sales that are taxable solely due to the bright-line test</w:t>
      </w:r>
      <w:r w:rsidR="007D6F63">
        <w:rPr>
          <w:lang w:val="en-NZ"/>
        </w:rPr>
        <w:t>,</w:t>
      </w:r>
      <w:r>
        <w:rPr>
          <w:lang w:val="en-NZ"/>
        </w:rPr>
        <w:t xml:space="preserve"> and allowing ring-fenced losses to be offset against any future land sale gains</w:t>
      </w:r>
      <w:r w:rsidR="00F16E3E">
        <w:rPr>
          <w:lang w:val="en-NZ"/>
        </w:rPr>
        <w:t>.  L</w:t>
      </w:r>
      <w:r>
        <w:rPr>
          <w:lang w:val="en-NZ"/>
        </w:rPr>
        <w:t>osses from property sales that are also taxable under the current land sale rules (</w:t>
      </w:r>
      <w:r w:rsidR="007D6F63">
        <w:rPr>
          <w:lang w:val="en-NZ"/>
        </w:rPr>
        <w:t>that is those</w:t>
      </w:r>
      <w:r>
        <w:rPr>
          <w:lang w:val="en-NZ"/>
        </w:rPr>
        <w:t xml:space="preserve"> that are not solely taxable under the bright-line test) will not be ring-fenced, thereby mitigating any distortions.</w:t>
      </w:r>
    </w:p>
    <w:p w:rsidR="00D95FF8" w:rsidRPr="00DB4CC5" w:rsidRDefault="00D95FF8" w:rsidP="00D95FF8">
      <w:pPr>
        <w:rPr>
          <w:lang w:val="en-NZ"/>
        </w:rPr>
      </w:pPr>
    </w:p>
    <w:p w:rsidR="00D95FF8" w:rsidRPr="00DB4CC5" w:rsidRDefault="00D95FF8" w:rsidP="00D95FF8">
      <w:pPr>
        <w:pStyle w:val="Heading2"/>
        <w:rPr>
          <w:lang w:val="en-NZ"/>
        </w:rPr>
      </w:pPr>
      <w:r w:rsidRPr="00DB4CC5">
        <w:rPr>
          <w:lang w:val="en-NZ"/>
        </w:rPr>
        <w:t>Recommendation</w:t>
      </w:r>
    </w:p>
    <w:p w:rsidR="00D95FF8" w:rsidRDefault="00D95FF8" w:rsidP="00D95FF8">
      <w:pPr>
        <w:rPr>
          <w:lang w:val="en-NZ"/>
        </w:rPr>
      </w:pPr>
    </w:p>
    <w:p w:rsidR="005E0F34" w:rsidRPr="00DB4CC5" w:rsidRDefault="005E0F34" w:rsidP="00D95FF8">
      <w:pPr>
        <w:rPr>
          <w:lang w:val="en-NZ"/>
        </w:rPr>
      </w:pPr>
      <w:r w:rsidRPr="00DB4CC5">
        <w:rPr>
          <w:lang w:val="en-NZ"/>
        </w:rPr>
        <w:t xml:space="preserve">That the submission be </w:t>
      </w:r>
      <w:r w:rsidR="0061644E">
        <w:rPr>
          <w:lang w:val="en-NZ"/>
        </w:rPr>
        <w:t>declined.</w:t>
      </w:r>
    </w:p>
    <w:p w:rsidR="00B91543" w:rsidRPr="00DB4CC5" w:rsidRDefault="00B91543" w:rsidP="00323495">
      <w:pPr>
        <w:pBdr>
          <w:bottom w:val="single" w:sz="4" w:space="1" w:color="auto"/>
        </w:pBdr>
        <w:rPr>
          <w:lang w:val="en-NZ"/>
        </w:rPr>
      </w:pPr>
    </w:p>
    <w:p w:rsidR="00323495" w:rsidRPr="00323495" w:rsidRDefault="00323495" w:rsidP="00323495"/>
    <w:p w:rsidR="00323495" w:rsidRPr="00323495" w:rsidRDefault="00323495" w:rsidP="00323495"/>
    <w:p w:rsidR="00B91543" w:rsidRPr="00DB4CC5" w:rsidRDefault="00B91543" w:rsidP="00B91543">
      <w:pPr>
        <w:pStyle w:val="Heading5"/>
        <w:ind w:left="794" w:hanging="794"/>
        <w:rPr>
          <w:lang w:val="en-NZ"/>
        </w:rPr>
      </w:pPr>
      <w:bookmarkStart w:id="74" w:name="_Toc432411962"/>
      <w:r w:rsidRPr="00DB4CC5">
        <w:rPr>
          <w:lang w:val="en-NZ"/>
        </w:rPr>
        <w:t>Issue:</w:t>
      </w:r>
      <w:r w:rsidRPr="00DB4CC5">
        <w:rPr>
          <w:lang w:val="en-NZ"/>
        </w:rPr>
        <w:tab/>
      </w:r>
      <w:r w:rsidR="00752FB0">
        <w:rPr>
          <w:lang w:val="en-NZ"/>
        </w:rPr>
        <w:t>Group companies</w:t>
      </w:r>
      <w:bookmarkEnd w:id="74"/>
    </w:p>
    <w:p w:rsidR="00B91543" w:rsidRPr="00DB4CC5" w:rsidRDefault="00B91543" w:rsidP="00B91543">
      <w:pPr>
        <w:rPr>
          <w:lang w:val="en-NZ"/>
        </w:rPr>
      </w:pPr>
    </w:p>
    <w:p w:rsidR="00B91543" w:rsidRPr="00DB4CC5" w:rsidRDefault="00B91543" w:rsidP="00B91543">
      <w:pPr>
        <w:rPr>
          <w:lang w:val="en-NZ"/>
        </w:rPr>
      </w:pPr>
    </w:p>
    <w:p w:rsidR="00B91543" w:rsidRPr="00DB4CC5" w:rsidRDefault="00B91543" w:rsidP="00B91543">
      <w:pPr>
        <w:pStyle w:val="Heading2"/>
        <w:rPr>
          <w:lang w:val="en-NZ"/>
        </w:rPr>
      </w:pPr>
      <w:r w:rsidRPr="00DB4CC5">
        <w:rPr>
          <w:lang w:val="en-NZ"/>
        </w:rPr>
        <w:t>Submission</w:t>
      </w:r>
    </w:p>
    <w:p w:rsidR="00B91543" w:rsidRPr="00DB4CC5" w:rsidRDefault="00752FB0" w:rsidP="00B91543">
      <w:pPr>
        <w:pStyle w:val="Heading4"/>
        <w:rPr>
          <w:lang w:val="en-NZ"/>
        </w:rPr>
      </w:pPr>
      <w:r>
        <w:rPr>
          <w:lang w:val="en-NZ"/>
        </w:rPr>
        <w:t>(EY)</w:t>
      </w:r>
    </w:p>
    <w:p w:rsidR="00B91543" w:rsidRPr="00DB4CC5" w:rsidRDefault="00B91543" w:rsidP="00B91543">
      <w:pPr>
        <w:tabs>
          <w:tab w:val="left" w:pos="5295"/>
        </w:tabs>
        <w:rPr>
          <w:lang w:val="en-NZ"/>
        </w:rPr>
      </w:pPr>
    </w:p>
    <w:p w:rsidR="00B91543" w:rsidRPr="00DB4CC5" w:rsidRDefault="00752FB0" w:rsidP="00B91543">
      <w:pPr>
        <w:rPr>
          <w:lang w:val="en-NZ"/>
        </w:rPr>
      </w:pPr>
      <w:r>
        <w:rPr>
          <w:lang w:val="en-NZ"/>
        </w:rPr>
        <w:t>Companies should be able to offset excess deductions or losses arising under the bright-line rule against any net taxable income from land sales in other group companies</w:t>
      </w:r>
      <w:r w:rsidR="00F16E3E">
        <w:rPr>
          <w:lang w:val="en-NZ"/>
        </w:rPr>
        <w:t>.  T</w:t>
      </w:r>
      <w:r>
        <w:rPr>
          <w:lang w:val="en-NZ"/>
        </w:rPr>
        <w:t xml:space="preserve">here is no general income tax restriction on the type or source of losses </w:t>
      </w:r>
      <w:r w:rsidR="004F74AA">
        <w:rPr>
          <w:lang w:val="en-NZ"/>
        </w:rPr>
        <w:t xml:space="preserve">that </w:t>
      </w:r>
      <w:r>
        <w:rPr>
          <w:lang w:val="en-NZ"/>
        </w:rPr>
        <w:t>companies can offset against net income derived by other tax group companies and</w:t>
      </w:r>
      <w:r w:rsidR="004F74AA">
        <w:rPr>
          <w:lang w:val="en-NZ"/>
        </w:rPr>
        <w:t xml:space="preserve"> we</w:t>
      </w:r>
      <w:r>
        <w:rPr>
          <w:lang w:val="en-NZ"/>
        </w:rPr>
        <w:t xml:space="preserve"> cannot see any justification for restricting the offset.</w:t>
      </w:r>
    </w:p>
    <w:p w:rsidR="00B91543" w:rsidRPr="00DB4CC5" w:rsidRDefault="00B91543" w:rsidP="00B91543">
      <w:pPr>
        <w:rPr>
          <w:lang w:val="en-NZ"/>
        </w:rPr>
      </w:pPr>
    </w:p>
    <w:p w:rsidR="00B91543" w:rsidRPr="00DB4CC5" w:rsidRDefault="00B91543" w:rsidP="00B91543">
      <w:pPr>
        <w:pStyle w:val="Heading2"/>
        <w:rPr>
          <w:lang w:val="en-NZ"/>
        </w:rPr>
      </w:pPr>
      <w:r w:rsidRPr="00DB4CC5">
        <w:rPr>
          <w:lang w:val="en-NZ"/>
        </w:rPr>
        <w:t>Comment</w:t>
      </w:r>
    </w:p>
    <w:p w:rsidR="00B91543" w:rsidRPr="00DB4CC5" w:rsidRDefault="00B91543" w:rsidP="00B91543">
      <w:pPr>
        <w:rPr>
          <w:lang w:val="en-NZ"/>
        </w:rPr>
      </w:pPr>
    </w:p>
    <w:p w:rsidR="00B91543" w:rsidRDefault="004F74AA" w:rsidP="00B91543">
      <w:pPr>
        <w:rPr>
          <w:lang w:val="en-NZ"/>
        </w:rPr>
      </w:pPr>
      <w:r>
        <w:rPr>
          <w:lang w:val="en-NZ"/>
        </w:rPr>
        <w:t>E</w:t>
      </w:r>
      <w:r w:rsidR="00A22AB5">
        <w:rPr>
          <w:lang w:val="en-NZ"/>
        </w:rPr>
        <w:t>nabling group companies to offset ring-fenced deductions against land income from other group companies would increase the complexity of the proposed ring-fencing</w:t>
      </w:r>
      <w:r w:rsidR="00BC0348">
        <w:rPr>
          <w:lang w:val="en-NZ"/>
        </w:rPr>
        <w:t xml:space="preserve"> and make the bright-line test less clear.</w:t>
      </w:r>
    </w:p>
    <w:p w:rsidR="00A22AB5" w:rsidRDefault="00A22AB5" w:rsidP="00B91543">
      <w:pPr>
        <w:rPr>
          <w:lang w:val="en-NZ"/>
        </w:rPr>
      </w:pPr>
    </w:p>
    <w:p w:rsidR="00A22AB5" w:rsidRPr="00DB4CC5" w:rsidRDefault="00A22AB5" w:rsidP="00B91543">
      <w:pPr>
        <w:rPr>
          <w:lang w:val="en-NZ"/>
        </w:rPr>
      </w:pPr>
      <w:r>
        <w:rPr>
          <w:lang w:val="en-NZ"/>
        </w:rPr>
        <w:t>We note that consolidated groups will be able to offset ring-fenced deductions against the land income from other consolidated companies.</w:t>
      </w:r>
    </w:p>
    <w:p w:rsidR="00B91543" w:rsidRPr="00DB4CC5" w:rsidRDefault="00B91543" w:rsidP="00B91543">
      <w:pPr>
        <w:rPr>
          <w:lang w:val="en-NZ"/>
        </w:rPr>
      </w:pPr>
    </w:p>
    <w:p w:rsidR="00B91543" w:rsidRPr="00DB4CC5" w:rsidRDefault="00B91543" w:rsidP="00B91543">
      <w:pPr>
        <w:pStyle w:val="Heading2"/>
        <w:rPr>
          <w:lang w:val="en-NZ"/>
        </w:rPr>
      </w:pPr>
      <w:r w:rsidRPr="00DB4CC5">
        <w:rPr>
          <w:lang w:val="en-NZ"/>
        </w:rPr>
        <w:t>Recommendation</w:t>
      </w:r>
    </w:p>
    <w:p w:rsidR="00B91543" w:rsidRPr="00DB4CC5" w:rsidRDefault="00B91543" w:rsidP="00B91543">
      <w:pPr>
        <w:rPr>
          <w:lang w:val="en-NZ"/>
        </w:rPr>
      </w:pPr>
    </w:p>
    <w:p w:rsidR="00B91543" w:rsidRPr="00DB4CC5" w:rsidRDefault="00B91543" w:rsidP="00B91543">
      <w:pPr>
        <w:rPr>
          <w:lang w:val="en-NZ"/>
        </w:rPr>
      </w:pPr>
      <w:r w:rsidRPr="00DB4CC5">
        <w:rPr>
          <w:lang w:val="en-NZ"/>
        </w:rPr>
        <w:t xml:space="preserve">That the submission be </w:t>
      </w:r>
      <w:r w:rsidR="00A22AB5">
        <w:rPr>
          <w:lang w:val="en-NZ"/>
        </w:rPr>
        <w:t>declined.</w:t>
      </w:r>
    </w:p>
    <w:p w:rsidR="00B91543" w:rsidRPr="00DB4CC5" w:rsidRDefault="00B91543" w:rsidP="00B91543">
      <w:pPr>
        <w:pBdr>
          <w:bottom w:val="single" w:sz="4" w:space="1" w:color="auto"/>
        </w:pBdr>
        <w:rPr>
          <w:lang w:val="en-NZ"/>
        </w:rPr>
      </w:pPr>
    </w:p>
    <w:p w:rsidR="00B91543" w:rsidRDefault="00B91543" w:rsidP="00B91543">
      <w:pPr>
        <w:rPr>
          <w:lang w:val="en-NZ"/>
        </w:rPr>
      </w:pPr>
    </w:p>
    <w:p w:rsidR="00323495" w:rsidRDefault="00323495" w:rsidP="00B91543">
      <w:pPr>
        <w:rPr>
          <w:lang w:val="en-NZ"/>
        </w:rPr>
      </w:pPr>
    </w:p>
    <w:p w:rsidR="00B91543" w:rsidRPr="00DB4CC5" w:rsidRDefault="00B91543" w:rsidP="00B91543">
      <w:pPr>
        <w:pStyle w:val="Heading5"/>
        <w:ind w:left="794" w:hanging="794"/>
        <w:rPr>
          <w:lang w:val="en-NZ"/>
        </w:rPr>
      </w:pPr>
      <w:bookmarkStart w:id="75" w:name="_Toc432411963"/>
      <w:r w:rsidRPr="00DB4CC5">
        <w:rPr>
          <w:lang w:val="en-NZ"/>
        </w:rPr>
        <w:t>Issue:</w:t>
      </w:r>
      <w:r w:rsidRPr="00DB4CC5">
        <w:rPr>
          <w:lang w:val="en-NZ"/>
        </w:rPr>
        <w:tab/>
      </w:r>
      <w:r w:rsidR="008602CC">
        <w:rPr>
          <w:lang w:val="en-NZ"/>
        </w:rPr>
        <w:t>Spill</w:t>
      </w:r>
      <w:r w:rsidR="001C3067">
        <w:rPr>
          <w:lang w:val="en-NZ"/>
        </w:rPr>
        <w:t>-</w:t>
      </w:r>
      <w:r w:rsidR="008602CC">
        <w:rPr>
          <w:lang w:val="en-NZ"/>
        </w:rPr>
        <w:t>over</w:t>
      </w:r>
      <w:bookmarkEnd w:id="75"/>
    </w:p>
    <w:p w:rsidR="00B91543" w:rsidRPr="00DB4CC5" w:rsidRDefault="00B91543" w:rsidP="00B91543">
      <w:pPr>
        <w:rPr>
          <w:lang w:val="en-NZ"/>
        </w:rPr>
      </w:pPr>
    </w:p>
    <w:p w:rsidR="00B91543" w:rsidRPr="00DB4CC5" w:rsidRDefault="00B91543" w:rsidP="00B91543">
      <w:pPr>
        <w:rPr>
          <w:lang w:val="en-NZ"/>
        </w:rPr>
      </w:pPr>
    </w:p>
    <w:p w:rsidR="00B91543" w:rsidRPr="00DB4CC5" w:rsidRDefault="00B91543" w:rsidP="00B91543">
      <w:pPr>
        <w:pStyle w:val="Heading2"/>
        <w:rPr>
          <w:lang w:val="en-NZ"/>
        </w:rPr>
      </w:pPr>
      <w:r w:rsidRPr="00DB4CC5">
        <w:rPr>
          <w:lang w:val="en-NZ"/>
        </w:rPr>
        <w:t>Submission</w:t>
      </w:r>
    </w:p>
    <w:p w:rsidR="00B91543" w:rsidRPr="00DB4CC5" w:rsidRDefault="008602CC" w:rsidP="00B91543">
      <w:pPr>
        <w:pStyle w:val="Heading4"/>
        <w:rPr>
          <w:lang w:val="en-NZ"/>
        </w:rPr>
      </w:pPr>
      <w:r>
        <w:rPr>
          <w:lang w:val="en-NZ"/>
        </w:rPr>
        <w:t>(</w:t>
      </w:r>
      <w:r w:rsidR="004F74AA">
        <w:rPr>
          <w:lang w:val="en-NZ"/>
        </w:rPr>
        <w:t>P</w:t>
      </w:r>
      <w:r>
        <w:rPr>
          <w:lang w:val="en-NZ"/>
        </w:rPr>
        <w:t>w</w:t>
      </w:r>
      <w:r w:rsidR="004F74AA">
        <w:rPr>
          <w:lang w:val="en-NZ"/>
        </w:rPr>
        <w:t>C</w:t>
      </w:r>
      <w:r w:rsidR="002A1A63">
        <w:rPr>
          <w:lang w:val="en-NZ"/>
        </w:rPr>
        <w:t>, EY</w:t>
      </w:r>
      <w:r>
        <w:rPr>
          <w:lang w:val="en-NZ"/>
        </w:rPr>
        <w:t>)</w:t>
      </w:r>
    </w:p>
    <w:p w:rsidR="00B91543" w:rsidRPr="00DB4CC5" w:rsidRDefault="00B91543" w:rsidP="00B91543">
      <w:pPr>
        <w:tabs>
          <w:tab w:val="left" w:pos="5295"/>
        </w:tabs>
        <w:rPr>
          <w:lang w:val="en-NZ"/>
        </w:rPr>
      </w:pPr>
    </w:p>
    <w:p w:rsidR="00B91543" w:rsidRPr="00DB4CC5" w:rsidRDefault="008602CC" w:rsidP="00B91543">
      <w:pPr>
        <w:rPr>
          <w:lang w:val="en-NZ"/>
        </w:rPr>
      </w:pPr>
      <w:r>
        <w:rPr>
          <w:lang w:val="en-NZ"/>
        </w:rPr>
        <w:t>Given the hierarchical application of the land taxing provisions there is potential for losses to be ring-fenced where the property sale would otherwise have been taxable under a subsequent provision with</w:t>
      </w:r>
      <w:r w:rsidR="001C3067">
        <w:rPr>
          <w:lang w:val="en-NZ"/>
        </w:rPr>
        <w:t>out loss limitation</w:t>
      </w:r>
      <w:r w:rsidR="00F16E3E">
        <w:rPr>
          <w:lang w:val="en-NZ"/>
        </w:rPr>
        <w:t>.  T</w:t>
      </w:r>
      <w:r w:rsidR="001C3067">
        <w:rPr>
          <w:lang w:val="en-NZ"/>
        </w:rPr>
        <w:t>his spill-</w:t>
      </w:r>
      <w:r>
        <w:rPr>
          <w:lang w:val="en-NZ"/>
        </w:rPr>
        <w:t>over produces an unintended loss limitation.</w:t>
      </w:r>
    </w:p>
    <w:p w:rsidR="00B91543" w:rsidRPr="00DB4CC5" w:rsidRDefault="00B91543" w:rsidP="00B91543">
      <w:pPr>
        <w:rPr>
          <w:lang w:val="en-NZ"/>
        </w:rPr>
      </w:pPr>
    </w:p>
    <w:p w:rsidR="00B91543" w:rsidRPr="00DB4CC5" w:rsidRDefault="00B91543" w:rsidP="00B91543">
      <w:pPr>
        <w:pStyle w:val="Heading2"/>
        <w:rPr>
          <w:lang w:val="en-NZ"/>
        </w:rPr>
      </w:pPr>
      <w:r w:rsidRPr="00DB4CC5">
        <w:rPr>
          <w:lang w:val="en-NZ"/>
        </w:rPr>
        <w:t>Comment</w:t>
      </w:r>
    </w:p>
    <w:p w:rsidR="00B91543" w:rsidRPr="00DB4CC5" w:rsidRDefault="00B91543" w:rsidP="00B91543">
      <w:pPr>
        <w:rPr>
          <w:lang w:val="en-NZ"/>
        </w:rPr>
      </w:pPr>
    </w:p>
    <w:p w:rsidR="00B91543" w:rsidRPr="00DB4CC5" w:rsidRDefault="00612A1A" w:rsidP="00B91543">
      <w:pPr>
        <w:rPr>
          <w:lang w:val="en-NZ"/>
        </w:rPr>
      </w:pPr>
      <w:r>
        <w:rPr>
          <w:lang w:val="en-NZ"/>
        </w:rPr>
        <w:t>The proposed ring-fencing only applies where the sale is taxable solely due to the bright-line test.</w:t>
      </w:r>
    </w:p>
    <w:p w:rsidR="00B91543" w:rsidRPr="00DB4CC5" w:rsidRDefault="00B91543" w:rsidP="00B91543">
      <w:pPr>
        <w:rPr>
          <w:lang w:val="en-NZ"/>
        </w:rPr>
      </w:pPr>
    </w:p>
    <w:p w:rsidR="00B91543" w:rsidRPr="00DB4CC5" w:rsidRDefault="00B91543" w:rsidP="00B91543">
      <w:pPr>
        <w:pStyle w:val="Heading2"/>
        <w:rPr>
          <w:lang w:val="en-NZ"/>
        </w:rPr>
      </w:pPr>
      <w:r w:rsidRPr="00DB4CC5">
        <w:rPr>
          <w:lang w:val="en-NZ"/>
        </w:rPr>
        <w:t>Recommendation</w:t>
      </w:r>
    </w:p>
    <w:p w:rsidR="00B91543" w:rsidRPr="00DB4CC5" w:rsidRDefault="00B91543" w:rsidP="00B91543">
      <w:pPr>
        <w:rPr>
          <w:lang w:val="en-NZ"/>
        </w:rPr>
      </w:pPr>
    </w:p>
    <w:p w:rsidR="00B91543" w:rsidRPr="00DB4CC5" w:rsidRDefault="00B91543" w:rsidP="00B91543">
      <w:pPr>
        <w:rPr>
          <w:lang w:val="en-NZ"/>
        </w:rPr>
      </w:pPr>
      <w:r w:rsidRPr="00DB4CC5">
        <w:rPr>
          <w:lang w:val="en-NZ"/>
        </w:rPr>
        <w:t xml:space="preserve">That the submission be </w:t>
      </w:r>
      <w:r w:rsidR="00612A1A">
        <w:rPr>
          <w:lang w:val="en-NZ"/>
        </w:rPr>
        <w:t>noted.</w:t>
      </w:r>
    </w:p>
    <w:p w:rsidR="00D95FF8" w:rsidRPr="00DB4CC5" w:rsidRDefault="00D95FF8" w:rsidP="00D95FF8">
      <w:pPr>
        <w:rPr>
          <w:lang w:val="en-NZ"/>
        </w:rPr>
      </w:pPr>
    </w:p>
    <w:p w:rsidR="000B7504" w:rsidRPr="00DB4CC5" w:rsidRDefault="000B7504" w:rsidP="000B7504">
      <w:pPr>
        <w:rPr>
          <w:lang w:val="en-NZ"/>
        </w:rPr>
      </w:pPr>
    </w:p>
    <w:p w:rsidR="00D95FF8" w:rsidRDefault="00D95FF8">
      <w:pPr>
        <w:jc w:val="left"/>
        <w:rPr>
          <w:lang w:val="en-NZ"/>
        </w:rPr>
      </w:pPr>
      <w:r>
        <w:rPr>
          <w:lang w:val="en-NZ"/>
        </w:rPr>
        <w:br w:type="page"/>
      </w:r>
    </w:p>
    <w:p w:rsidR="00D95FF8" w:rsidRPr="00DB4CC5" w:rsidRDefault="00D95FF8" w:rsidP="00D95FF8">
      <w:pPr>
        <w:pStyle w:val="Heading1"/>
      </w:pPr>
      <w:bookmarkStart w:id="76" w:name="_Toc432411964"/>
      <w:r>
        <w:t>Losses from transfers to associated persons</w:t>
      </w:r>
      <w:bookmarkEnd w:id="76"/>
    </w:p>
    <w:p w:rsidR="00D95FF8" w:rsidRPr="00DB4CC5" w:rsidRDefault="00D95FF8" w:rsidP="00D95FF8">
      <w:pPr>
        <w:rPr>
          <w:lang w:val="en-NZ"/>
        </w:rPr>
      </w:pPr>
    </w:p>
    <w:p w:rsidR="00D95FF8" w:rsidRDefault="00D95FF8" w:rsidP="00D95FF8">
      <w:pPr>
        <w:pStyle w:val="Heading3"/>
        <w:rPr>
          <w:lang w:val="en-NZ"/>
        </w:rPr>
      </w:pPr>
      <w:r>
        <w:rPr>
          <w:lang w:val="en-NZ"/>
        </w:rPr>
        <w:t xml:space="preserve">Clause </w:t>
      </w:r>
      <w:r w:rsidR="001C3067">
        <w:rPr>
          <w:lang w:val="en-NZ"/>
        </w:rPr>
        <w:t>8</w:t>
      </w:r>
    </w:p>
    <w:p w:rsidR="00D95FF8" w:rsidRDefault="00D95FF8" w:rsidP="00D95FF8">
      <w:pPr>
        <w:rPr>
          <w:lang w:val="en-NZ"/>
        </w:rPr>
      </w:pPr>
    </w:p>
    <w:p w:rsidR="00D95FF8" w:rsidRPr="00DB4CC5" w:rsidRDefault="00D95FF8" w:rsidP="00D95FF8">
      <w:pPr>
        <w:rPr>
          <w:lang w:val="en-NZ"/>
        </w:rPr>
      </w:pPr>
    </w:p>
    <w:p w:rsidR="00D95FF8" w:rsidRPr="00DB4CC5" w:rsidRDefault="00D95FF8" w:rsidP="00D95FF8">
      <w:pPr>
        <w:pStyle w:val="Heading5"/>
        <w:ind w:left="794" w:hanging="794"/>
        <w:rPr>
          <w:lang w:val="en-NZ"/>
        </w:rPr>
      </w:pPr>
      <w:bookmarkStart w:id="77" w:name="_Toc432411965"/>
      <w:r w:rsidRPr="00DB4CC5">
        <w:rPr>
          <w:lang w:val="en-NZ"/>
        </w:rPr>
        <w:t>Issue:</w:t>
      </w:r>
      <w:r w:rsidRPr="00DB4CC5">
        <w:rPr>
          <w:lang w:val="en-NZ"/>
        </w:rPr>
        <w:tab/>
      </w:r>
      <w:r w:rsidR="003C0E48">
        <w:rPr>
          <w:lang w:val="en-NZ"/>
        </w:rPr>
        <w:t xml:space="preserve">Support for </w:t>
      </w:r>
      <w:r w:rsidR="00A22AB5">
        <w:rPr>
          <w:lang w:val="en-NZ"/>
        </w:rPr>
        <w:t>denying losses from transfers to associated persons</w:t>
      </w:r>
      <w:bookmarkEnd w:id="77"/>
    </w:p>
    <w:p w:rsidR="00D95FF8" w:rsidRPr="00DB4CC5" w:rsidRDefault="00D95FF8" w:rsidP="00D95FF8">
      <w:pPr>
        <w:rPr>
          <w:lang w:val="en-NZ"/>
        </w:rPr>
      </w:pPr>
    </w:p>
    <w:p w:rsidR="00D95FF8" w:rsidRPr="00DB4CC5" w:rsidRDefault="00D95FF8" w:rsidP="00D95FF8">
      <w:pPr>
        <w:rPr>
          <w:lang w:val="en-NZ"/>
        </w:rPr>
      </w:pPr>
    </w:p>
    <w:p w:rsidR="00D95FF8" w:rsidRPr="00DB4CC5" w:rsidRDefault="00D95FF8" w:rsidP="00D95FF8">
      <w:pPr>
        <w:pStyle w:val="Heading2"/>
        <w:rPr>
          <w:lang w:val="en-NZ"/>
        </w:rPr>
      </w:pPr>
      <w:r w:rsidRPr="00DB4CC5">
        <w:rPr>
          <w:lang w:val="en-NZ"/>
        </w:rPr>
        <w:t>Submission</w:t>
      </w:r>
    </w:p>
    <w:p w:rsidR="00D95FF8" w:rsidRPr="00DB4CC5" w:rsidRDefault="00D95FF8" w:rsidP="00D95FF8">
      <w:pPr>
        <w:pStyle w:val="Heading4"/>
        <w:rPr>
          <w:lang w:val="en-NZ"/>
        </w:rPr>
      </w:pPr>
      <w:r w:rsidRPr="00DB4CC5">
        <w:rPr>
          <w:lang w:val="en-NZ"/>
        </w:rPr>
        <w:t>(</w:t>
      </w:r>
      <w:r w:rsidR="003C0E48">
        <w:rPr>
          <w:lang w:val="en-NZ"/>
        </w:rPr>
        <w:t xml:space="preserve">New Zealand Property Investors’ Federation </w:t>
      </w:r>
      <w:proofErr w:type="spellStart"/>
      <w:r w:rsidR="003C0E48">
        <w:rPr>
          <w:lang w:val="en-NZ"/>
        </w:rPr>
        <w:t>Inc</w:t>
      </w:r>
      <w:proofErr w:type="spellEnd"/>
      <w:r w:rsidRPr="00DB4CC5">
        <w:rPr>
          <w:lang w:val="en-NZ"/>
        </w:rPr>
        <w:t>)</w:t>
      </w:r>
    </w:p>
    <w:p w:rsidR="00D95FF8" w:rsidRPr="00DB4CC5" w:rsidRDefault="00D95FF8" w:rsidP="00D95FF8">
      <w:pPr>
        <w:tabs>
          <w:tab w:val="left" w:pos="5295"/>
        </w:tabs>
        <w:rPr>
          <w:lang w:val="en-NZ"/>
        </w:rPr>
      </w:pPr>
    </w:p>
    <w:p w:rsidR="00D95FF8" w:rsidRPr="00DB4CC5" w:rsidRDefault="00BA061B" w:rsidP="00D95FF8">
      <w:pPr>
        <w:rPr>
          <w:lang w:val="en-NZ"/>
        </w:rPr>
      </w:pPr>
      <w:r>
        <w:rPr>
          <w:lang w:val="en-NZ"/>
        </w:rPr>
        <w:t>The s</w:t>
      </w:r>
      <w:r w:rsidR="003C0E48">
        <w:rPr>
          <w:lang w:val="en-NZ"/>
        </w:rPr>
        <w:t>ubmitter supported the proposed denial of losses from transfers to associated persons.</w:t>
      </w:r>
    </w:p>
    <w:p w:rsidR="00D95FF8" w:rsidRPr="00DB4CC5" w:rsidRDefault="00D95FF8" w:rsidP="00D95FF8">
      <w:pPr>
        <w:rPr>
          <w:lang w:val="en-NZ"/>
        </w:rPr>
      </w:pPr>
    </w:p>
    <w:p w:rsidR="00D95FF8" w:rsidRPr="00DB4CC5" w:rsidRDefault="00D95FF8" w:rsidP="00D95FF8">
      <w:pPr>
        <w:pStyle w:val="Heading2"/>
        <w:rPr>
          <w:lang w:val="en-NZ"/>
        </w:rPr>
      </w:pPr>
      <w:r w:rsidRPr="00DB4CC5">
        <w:rPr>
          <w:lang w:val="en-NZ"/>
        </w:rPr>
        <w:t>Recommendation</w:t>
      </w:r>
    </w:p>
    <w:p w:rsidR="00D95FF8" w:rsidRPr="00DB4CC5" w:rsidRDefault="00D95FF8" w:rsidP="00D95FF8">
      <w:pPr>
        <w:rPr>
          <w:lang w:val="en-NZ"/>
        </w:rPr>
      </w:pPr>
    </w:p>
    <w:p w:rsidR="00D95FF8" w:rsidRPr="00DB4CC5" w:rsidRDefault="00D95FF8" w:rsidP="00D95FF8">
      <w:pPr>
        <w:rPr>
          <w:lang w:val="en-NZ"/>
        </w:rPr>
      </w:pPr>
      <w:r w:rsidRPr="00DB4CC5">
        <w:rPr>
          <w:lang w:val="en-NZ"/>
        </w:rPr>
        <w:t xml:space="preserve">That the submission be </w:t>
      </w:r>
      <w:r w:rsidR="001C3067">
        <w:rPr>
          <w:lang w:val="en-NZ"/>
        </w:rPr>
        <w:t>noted.</w:t>
      </w:r>
    </w:p>
    <w:p w:rsidR="00D95FF8" w:rsidRPr="00DB4CC5" w:rsidRDefault="00D95FF8" w:rsidP="00D95FF8">
      <w:pPr>
        <w:pBdr>
          <w:bottom w:val="single" w:sz="4" w:space="1" w:color="auto"/>
        </w:pBdr>
        <w:rPr>
          <w:lang w:val="en-NZ"/>
        </w:rPr>
      </w:pPr>
    </w:p>
    <w:p w:rsidR="00D95FF8" w:rsidRDefault="00D95FF8" w:rsidP="00D95FF8">
      <w:pPr>
        <w:rPr>
          <w:lang w:val="en-NZ"/>
        </w:rPr>
      </w:pPr>
    </w:p>
    <w:p w:rsidR="00323495" w:rsidRPr="00DB4CC5" w:rsidRDefault="00323495" w:rsidP="00D95FF8">
      <w:pPr>
        <w:rPr>
          <w:lang w:val="en-NZ"/>
        </w:rPr>
      </w:pPr>
    </w:p>
    <w:p w:rsidR="00D95FF8" w:rsidRPr="00DB4CC5" w:rsidRDefault="00D95FF8" w:rsidP="00D95FF8">
      <w:pPr>
        <w:pStyle w:val="Heading5"/>
        <w:ind w:left="794" w:hanging="794"/>
        <w:rPr>
          <w:lang w:val="en-NZ"/>
        </w:rPr>
      </w:pPr>
      <w:bookmarkStart w:id="78" w:name="_Toc432411966"/>
      <w:r w:rsidRPr="00DB4CC5">
        <w:rPr>
          <w:lang w:val="en-NZ"/>
        </w:rPr>
        <w:t>Issue:</w:t>
      </w:r>
      <w:r w:rsidRPr="00DB4CC5">
        <w:rPr>
          <w:lang w:val="en-NZ"/>
        </w:rPr>
        <w:tab/>
      </w:r>
      <w:r w:rsidR="00A22AB5">
        <w:rPr>
          <w:lang w:val="en-NZ"/>
        </w:rPr>
        <w:t>Opposition to denying losses from transfers to associated persons</w:t>
      </w:r>
      <w:bookmarkEnd w:id="78"/>
    </w:p>
    <w:p w:rsidR="00D95FF8" w:rsidRPr="00DB4CC5" w:rsidRDefault="00D95FF8" w:rsidP="00D95FF8">
      <w:pPr>
        <w:rPr>
          <w:lang w:val="en-NZ"/>
        </w:rPr>
      </w:pPr>
    </w:p>
    <w:p w:rsidR="00D95FF8" w:rsidRPr="00DB4CC5" w:rsidRDefault="00D95FF8" w:rsidP="00D95FF8">
      <w:pPr>
        <w:rPr>
          <w:lang w:val="en-NZ"/>
        </w:rPr>
      </w:pPr>
    </w:p>
    <w:p w:rsidR="00D95FF8" w:rsidRPr="00DB4CC5" w:rsidRDefault="00D95FF8" w:rsidP="00D95FF8">
      <w:pPr>
        <w:pStyle w:val="Heading2"/>
        <w:rPr>
          <w:lang w:val="en-NZ"/>
        </w:rPr>
      </w:pPr>
      <w:r w:rsidRPr="00DB4CC5">
        <w:rPr>
          <w:lang w:val="en-NZ"/>
        </w:rPr>
        <w:t>Submission</w:t>
      </w:r>
    </w:p>
    <w:p w:rsidR="00D95FF8" w:rsidRPr="00DB4CC5" w:rsidRDefault="00915503" w:rsidP="00D95FF8">
      <w:pPr>
        <w:pStyle w:val="Heading4"/>
        <w:rPr>
          <w:lang w:val="en-NZ"/>
        </w:rPr>
      </w:pPr>
      <w:r>
        <w:rPr>
          <w:lang w:val="en-NZ"/>
        </w:rPr>
        <w:t>(</w:t>
      </w:r>
      <w:proofErr w:type="spellStart"/>
      <w:proofErr w:type="gramStart"/>
      <w:r>
        <w:rPr>
          <w:lang w:val="en-NZ"/>
        </w:rPr>
        <w:t>nsaTax</w:t>
      </w:r>
      <w:proofErr w:type="spellEnd"/>
      <w:proofErr w:type="gramEnd"/>
      <w:r>
        <w:rPr>
          <w:lang w:val="en-NZ"/>
        </w:rPr>
        <w:t>)</w:t>
      </w:r>
    </w:p>
    <w:p w:rsidR="00D95FF8" w:rsidRPr="00DB4CC5" w:rsidRDefault="00D95FF8" w:rsidP="00D95FF8">
      <w:pPr>
        <w:tabs>
          <w:tab w:val="left" w:pos="5295"/>
        </w:tabs>
        <w:rPr>
          <w:lang w:val="en-NZ"/>
        </w:rPr>
      </w:pPr>
    </w:p>
    <w:p w:rsidR="00D95FF8" w:rsidRDefault="00915503" w:rsidP="00D95FF8">
      <w:pPr>
        <w:rPr>
          <w:lang w:val="en-NZ"/>
        </w:rPr>
      </w:pPr>
      <w:r>
        <w:rPr>
          <w:lang w:val="en-NZ"/>
        </w:rPr>
        <w:t>Losses from transfers to associated person transactions should be allowed in full.</w:t>
      </w:r>
    </w:p>
    <w:p w:rsidR="00915503" w:rsidRDefault="00915503" w:rsidP="00D95FF8">
      <w:pPr>
        <w:rPr>
          <w:lang w:val="en-NZ"/>
        </w:rPr>
      </w:pPr>
    </w:p>
    <w:p w:rsidR="00915503" w:rsidRPr="00DB4CC5" w:rsidRDefault="00915503" w:rsidP="00D95FF8">
      <w:pPr>
        <w:rPr>
          <w:lang w:val="en-NZ"/>
        </w:rPr>
      </w:pPr>
      <w:r>
        <w:rPr>
          <w:lang w:val="en-NZ"/>
        </w:rPr>
        <w:t>At the very least they should be ring-fenced in the same way as proposed for losses arising from third</w:t>
      </w:r>
      <w:r w:rsidR="004F74AA">
        <w:rPr>
          <w:lang w:val="en-NZ"/>
        </w:rPr>
        <w:t>-</w:t>
      </w:r>
      <w:r>
        <w:rPr>
          <w:lang w:val="en-NZ"/>
        </w:rPr>
        <w:t>party transactions</w:t>
      </w:r>
      <w:r w:rsidR="007D271F">
        <w:rPr>
          <w:lang w:val="en-NZ"/>
        </w:rPr>
        <w:t>.</w:t>
      </w:r>
    </w:p>
    <w:p w:rsidR="00D95FF8" w:rsidRDefault="00D95FF8" w:rsidP="00D95FF8">
      <w:pPr>
        <w:rPr>
          <w:lang w:val="en-NZ"/>
        </w:rPr>
      </w:pPr>
    </w:p>
    <w:p w:rsidR="00BA061B" w:rsidRDefault="00BA061B" w:rsidP="00D95FF8">
      <w:pPr>
        <w:rPr>
          <w:lang w:val="en-NZ"/>
        </w:rPr>
      </w:pPr>
      <w:r>
        <w:rPr>
          <w:lang w:val="en-NZ"/>
        </w:rPr>
        <w:t>The solution to this</w:t>
      </w:r>
      <w:r w:rsidR="004F74AA">
        <w:rPr>
          <w:lang w:val="en-NZ"/>
        </w:rPr>
        <w:t xml:space="preserve"> is</w:t>
      </w:r>
      <w:r>
        <w:rPr>
          <w:lang w:val="en-NZ"/>
        </w:rPr>
        <w:t xml:space="preserve"> to provide rollover relief for transfers to associated persons</w:t>
      </w:r>
      <w:r w:rsidR="00610822">
        <w:rPr>
          <w:lang w:val="en-NZ"/>
        </w:rPr>
        <w:t xml:space="preserve">. </w:t>
      </w:r>
      <w:r>
        <w:rPr>
          <w:lang w:val="en-NZ"/>
        </w:rPr>
        <w:t xml:space="preserve"> (</w:t>
      </w:r>
      <w:r w:rsidR="00610822">
        <w:rPr>
          <w:lang w:val="en-NZ"/>
        </w:rPr>
        <w:t>S</w:t>
      </w:r>
      <w:r w:rsidR="005D15DA">
        <w:rPr>
          <w:lang w:val="en-NZ"/>
        </w:rPr>
        <w:t xml:space="preserve">ee </w:t>
      </w:r>
      <w:r w:rsidR="004F74AA">
        <w:rPr>
          <w:i/>
          <w:lang w:val="en-NZ"/>
        </w:rPr>
        <w:t>Issue: Roll</w:t>
      </w:r>
      <w:r w:rsidR="001F3E8A" w:rsidRPr="009B557D">
        <w:rPr>
          <w:i/>
          <w:lang w:val="en-NZ"/>
        </w:rPr>
        <w:t>over relief for associated persons</w:t>
      </w:r>
      <w:r>
        <w:rPr>
          <w:lang w:val="en-NZ"/>
        </w:rPr>
        <w:t>)</w:t>
      </w:r>
      <w:r w:rsidR="007D271F">
        <w:rPr>
          <w:lang w:val="en-NZ"/>
        </w:rPr>
        <w:t>.</w:t>
      </w:r>
    </w:p>
    <w:p w:rsidR="00BA061B" w:rsidRPr="00DB4CC5" w:rsidRDefault="00BA061B" w:rsidP="00D95FF8">
      <w:pPr>
        <w:rPr>
          <w:lang w:val="en-NZ"/>
        </w:rPr>
      </w:pPr>
    </w:p>
    <w:p w:rsidR="00D95FF8" w:rsidRPr="00DB4CC5" w:rsidRDefault="00D95FF8" w:rsidP="00D95FF8">
      <w:pPr>
        <w:pStyle w:val="Heading2"/>
        <w:rPr>
          <w:lang w:val="en-NZ"/>
        </w:rPr>
      </w:pPr>
      <w:r w:rsidRPr="00DB4CC5">
        <w:rPr>
          <w:lang w:val="en-NZ"/>
        </w:rPr>
        <w:t>Comment</w:t>
      </w:r>
    </w:p>
    <w:p w:rsidR="00D95FF8" w:rsidRPr="00DB4CC5" w:rsidRDefault="00D95FF8" w:rsidP="00D95FF8">
      <w:pPr>
        <w:rPr>
          <w:lang w:val="en-NZ"/>
        </w:rPr>
      </w:pPr>
    </w:p>
    <w:p w:rsidR="00BA061B" w:rsidRDefault="00BA061B" w:rsidP="00D95FF8">
      <w:pPr>
        <w:rPr>
          <w:lang w:val="en-NZ"/>
        </w:rPr>
      </w:pPr>
      <w:r>
        <w:rPr>
          <w:lang w:val="en-NZ"/>
        </w:rPr>
        <w:t>The bill proposes to deny losses from transfers to associated persons to prevent people recognising losses without any real economic transaction occurring.</w:t>
      </w:r>
    </w:p>
    <w:p w:rsidR="00BA061B" w:rsidRDefault="00BA061B" w:rsidP="00D95FF8">
      <w:pPr>
        <w:rPr>
          <w:lang w:val="en-NZ"/>
        </w:rPr>
      </w:pPr>
    </w:p>
    <w:p w:rsidR="00D95FF8" w:rsidRDefault="00BA061B" w:rsidP="00D95FF8">
      <w:pPr>
        <w:rPr>
          <w:lang w:val="en-NZ"/>
        </w:rPr>
      </w:pPr>
      <w:r>
        <w:rPr>
          <w:lang w:val="en-NZ"/>
        </w:rPr>
        <w:t xml:space="preserve">For the reasons outlined for the submission </w:t>
      </w:r>
      <w:r w:rsidR="004F74AA" w:rsidRPr="009B557D">
        <w:rPr>
          <w:i/>
          <w:lang w:val="en-NZ"/>
        </w:rPr>
        <w:t>Issue: Rollover relief for associated persons</w:t>
      </w:r>
      <w:r>
        <w:rPr>
          <w:lang w:val="en-NZ"/>
        </w:rPr>
        <w:t xml:space="preserve"> we do not agree with providing rollover relief for transfers between associated persons.</w:t>
      </w:r>
    </w:p>
    <w:p w:rsidR="00BA061B" w:rsidRDefault="00BA061B" w:rsidP="00D95FF8">
      <w:pPr>
        <w:rPr>
          <w:lang w:val="en-NZ"/>
        </w:rPr>
      </w:pPr>
    </w:p>
    <w:p w:rsidR="00BA061B" w:rsidRPr="00DB4CC5" w:rsidRDefault="00BA061B" w:rsidP="00D95FF8">
      <w:pPr>
        <w:rPr>
          <w:lang w:val="en-NZ"/>
        </w:rPr>
      </w:pPr>
      <w:r>
        <w:rPr>
          <w:lang w:val="en-NZ"/>
        </w:rPr>
        <w:t>We are proposing to adjust the cost base for the re</w:t>
      </w:r>
      <w:r w:rsidR="00905068">
        <w:rPr>
          <w:lang w:val="en-NZ"/>
        </w:rPr>
        <w:t xml:space="preserve">cipient of property to prevent genuine losses being </w:t>
      </w:r>
      <w:r w:rsidR="003819D9">
        <w:rPr>
          <w:lang w:val="en-NZ"/>
        </w:rPr>
        <w:t xml:space="preserve">denied permanently </w:t>
      </w:r>
      <w:r w:rsidR="00905068">
        <w:rPr>
          <w:lang w:val="en-NZ"/>
        </w:rPr>
        <w:t>through transfers to associated persons</w:t>
      </w:r>
      <w:r w:rsidR="001A68D0">
        <w:rPr>
          <w:lang w:val="en-NZ"/>
        </w:rPr>
        <w:t xml:space="preserve"> (see </w:t>
      </w:r>
      <w:r w:rsidR="001A68D0">
        <w:rPr>
          <w:i/>
          <w:lang w:val="en-NZ"/>
        </w:rPr>
        <w:t xml:space="preserve">Issue: </w:t>
      </w:r>
      <w:r w:rsidR="00CC52F6">
        <w:rPr>
          <w:i/>
          <w:lang w:val="en-NZ"/>
        </w:rPr>
        <w:t>A</w:t>
      </w:r>
      <w:r w:rsidR="001A68D0">
        <w:rPr>
          <w:i/>
          <w:lang w:val="en-NZ"/>
        </w:rPr>
        <w:t>djusting cost-base of associate</w:t>
      </w:r>
      <w:r w:rsidR="004F74AA">
        <w:rPr>
          <w:lang w:val="en-NZ"/>
        </w:rPr>
        <w:t>)</w:t>
      </w:r>
      <w:r w:rsidR="009E7F1E">
        <w:rPr>
          <w:lang w:val="en-NZ"/>
        </w:rPr>
        <w:t>.</w:t>
      </w:r>
    </w:p>
    <w:p w:rsidR="00D95FF8" w:rsidRPr="00DB4CC5" w:rsidRDefault="00D95FF8" w:rsidP="00D95FF8">
      <w:pPr>
        <w:rPr>
          <w:lang w:val="en-NZ"/>
        </w:rPr>
      </w:pPr>
    </w:p>
    <w:p w:rsidR="00D95FF8" w:rsidRPr="00DB4CC5" w:rsidRDefault="00D95FF8" w:rsidP="00D95FF8">
      <w:pPr>
        <w:pStyle w:val="Heading2"/>
        <w:rPr>
          <w:lang w:val="en-NZ"/>
        </w:rPr>
      </w:pPr>
      <w:r w:rsidRPr="00DB4CC5">
        <w:rPr>
          <w:lang w:val="en-NZ"/>
        </w:rPr>
        <w:t>Recommendation</w:t>
      </w:r>
    </w:p>
    <w:p w:rsidR="00D95FF8" w:rsidRDefault="00D95FF8" w:rsidP="00323495">
      <w:pPr>
        <w:pBdr>
          <w:bottom w:val="single" w:sz="4" w:space="1" w:color="auto"/>
        </w:pBdr>
        <w:rPr>
          <w:lang w:val="en-NZ"/>
        </w:rPr>
      </w:pPr>
    </w:p>
    <w:p w:rsidR="00323495" w:rsidRDefault="00323495" w:rsidP="00323495">
      <w:pPr>
        <w:pBdr>
          <w:bottom w:val="single" w:sz="4" w:space="1" w:color="auto"/>
        </w:pBdr>
        <w:rPr>
          <w:lang w:val="en-NZ"/>
        </w:rPr>
      </w:pPr>
      <w:r>
        <w:rPr>
          <w:lang w:val="en-NZ"/>
        </w:rPr>
        <w:t>That the submission be declined.</w:t>
      </w:r>
    </w:p>
    <w:p w:rsidR="0021448C" w:rsidRPr="00DB4CC5" w:rsidRDefault="0021448C" w:rsidP="00323495">
      <w:pPr>
        <w:pBdr>
          <w:bottom w:val="single" w:sz="4" w:space="1" w:color="auto"/>
        </w:pBdr>
        <w:rPr>
          <w:lang w:val="en-NZ"/>
        </w:rPr>
      </w:pPr>
    </w:p>
    <w:p w:rsidR="007271DE" w:rsidRPr="00DB4CC5" w:rsidRDefault="007271DE" w:rsidP="007271DE">
      <w:pPr>
        <w:pStyle w:val="Heading5"/>
        <w:ind w:left="794" w:hanging="794"/>
        <w:rPr>
          <w:lang w:val="en-NZ"/>
        </w:rPr>
      </w:pPr>
      <w:bookmarkStart w:id="79" w:name="_Toc432411967"/>
      <w:r w:rsidRPr="00DB4CC5">
        <w:rPr>
          <w:lang w:val="en-NZ"/>
        </w:rPr>
        <w:t>Issue:</w:t>
      </w:r>
      <w:r w:rsidRPr="00DB4CC5">
        <w:rPr>
          <w:lang w:val="en-NZ"/>
        </w:rPr>
        <w:tab/>
      </w:r>
      <w:r w:rsidR="0084177D">
        <w:rPr>
          <w:lang w:val="en-NZ"/>
        </w:rPr>
        <w:t>Limiting</w:t>
      </w:r>
      <w:r w:rsidR="000E727F">
        <w:rPr>
          <w:lang w:val="en-NZ"/>
        </w:rPr>
        <w:t xml:space="preserve"> provision</w:t>
      </w:r>
      <w:r w:rsidR="0084177D">
        <w:rPr>
          <w:lang w:val="en-NZ"/>
        </w:rPr>
        <w:t xml:space="preserve"> to disposals taxable solely due to the bright-line</w:t>
      </w:r>
      <w:bookmarkEnd w:id="79"/>
    </w:p>
    <w:p w:rsidR="007271DE" w:rsidRPr="00DB4CC5" w:rsidRDefault="007271DE" w:rsidP="007271DE">
      <w:pPr>
        <w:rPr>
          <w:lang w:val="en-NZ"/>
        </w:rPr>
      </w:pPr>
    </w:p>
    <w:p w:rsidR="007271DE" w:rsidRPr="00DB4CC5" w:rsidRDefault="007271DE" w:rsidP="007271DE">
      <w:pPr>
        <w:rPr>
          <w:lang w:val="en-NZ"/>
        </w:rPr>
      </w:pPr>
    </w:p>
    <w:p w:rsidR="007271DE" w:rsidRPr="00DB4CC5" w:rsidRDefault="007271DE" w:rsidP="007271DE">
      <w:pPr>
        <w:pStyle w:val="Heading2"/>
        <w:rPr>
          <w:lang w:val="en-NZ"/>
        </w:rPr>
      </w:pPr>
      <w:r w:rsidRPr="00DB4CC5">
        <w:rPr>
          <w:lang w:val="en-NZ"/>
        </w:rPr>
        <w:t>Submission</w:t>
      </w:r>
    </w:p>
    <w:p w:rsidR="007271DE" w:rsidRPr="00DB4CC5" w:rsidRDefault="007271DE" w:rsidP="007271DE">
      <w:pPr>
        <w:pStyle w:val="Heading4"/>
        <w:rPr>
          <w:lang w:val="en-NZ"/>
        </w:rPr>
      </w:pPr>
      <w:r>
        <w:rPr>
          <w:lang w:val="en-NZ"/>
        </w:rPr>
        <w:t>(</w:t>
      </w:r>
      <w:proofErr w:type="spellStart"/>
      <w:proofErr w:type="gramStart"/>
      <w:r>
        <w:rPr>
          <w:lang w:val="en-NZ"/>
        </w:rPr>
        <w:t>nsaTax</w:t>
      </w:r>
      <w:proofErr w:type="spellEnd"/>
      <w:proofErr w:type="gramEnd"/>
      <w:r w:rsidR="002C02A3">
        <w:rPr>
          <w:lang w:val="en-NZ"/>
        </w:rPr>
        <w:t>, EY</w:t>
      </w:r>
      <w:r>
        <w:rPr>
          <w:lang w:val="en-NZ"/>
        </w:rPr>
        <w:t>)</w:t>
      </w:r>
    </w:p>
    <w:p w:rsidR="007271DE" w:rsidRPr="00DB4CC5" w:rsidRDefault="007271DE" w:rsidP="007271DE">
      <w:pPr>
        <w:tabs>
          <w:tab w:val="left" w:pos="5295"/>
        </w:tabs>
        <w:rPr>
          <w:lang w:val="en-NZ"/>
        </w:rPr>
      </w:pPr>
    </w:p>
    <w:p w:rsidR="007271DE" w:rsidRDefault="00B069B5" w:rsidP="007271DE">
      <w:pPr>
        <w:rPr>
          <w:lang w:val="en-NZ"/>
        </w:rPr>
      </w:pPr>
      <w:r>
        <w:rPr>
          <w:lang w:val="en-NZ"/>
        </w:rPr>
        <w:t>The proposed denial of losses from transfers to associated person</w:t>
      </w:r>
      <w:r w:rsidR="007C0E22">
        <w:rPr>
          <w:lang w:val="en-NZ"/>
        </w:rPr>
        <w:t>s</w:t>
      </w:r>
      <w:r w:rsidR="007271DE">
        <w:rPr>
          <w:lang w:val="en-NZ"/>
        </w:rPr>
        <w:t xml:space="preserve"> should only apply to a person who derives income solely under section CB 6A.</w:t>
      </w:r>
    </w:p>
    <w:p w:rsidR="007271DE" w:rsidRDefault="007271DE" w:rsidP="007271DE">
      <w:pPr>
        <w:rPr>
          <w:lang w:val="en-NZ"/>
        </w:rPr>
      </w:pPr>
    </w:p>
    <w:p w:rsidR="007271DE" w:rsidRDefault="007271DE" w:rsidP="007271DE">
      <w:pPr>
        <w:rPr>
          <w:lang w:val="en-NZ"/>
        </w:rPr>
      </w:pPr>
      <w:r>
        <w:rPr>
          <w:lang w:val="en-NZ"/>
        </w:rPr>
        <w:t>Section DB 18AB applies to a person who derives income under section CB 6A</w:t>
      </w:r>
      <w:r w:rsidR="00F16E3E">
        <w:rPr>
          <w:lang w:val="en-NZ"/>
        </w:rPr>
        <w:t>.  T</w:t>
      </w:r>
      <w:r>
        <w:rPr>
          <w:lang w:val="en-NZ"/>
        </w:rPr>
        <w:t xml:space="preserve">his section should be amended </w:t>
      </w:r>
      <w:r w:rsidR="007C0E22">
        <w:rPr>
          <w:lang w:val="en-NZ"/>
        </w:rPr>
        <w:t>s</w:t>
      </w:r>
      <w:r>
        <w:rPr>
          <w:lang w:val="en-NZ"/>
        </w:rPr>
        <w:t>o that the deduction cap on associated person transactions is limited to income derived solely under section CB 6A.</w:t>
      </w:r>
    </w:p>
    <w:p w:rsidR="0084177D" w:rsidRDefault="0084177D" w:rsidP="007271DE">
      <w:pPr>
        <w:rPr>
          <w:lang w:val="en-NZ"/>
        </w:rPr>
      </w:pPr>
    </w:p>
    <w:p w:rsidR="0084177D" w:rsidRPr="00DB4CC5" w:rsidRDefault="0084177D" w:rsidP="007271DE">
      <w:pPr>
        <w:rPr>
          <w:lang w:val="en-NZ"/>
        </w:rPr>
      </w:pPr>
      <w:r>
        <w:rPr>
          <w:lang w:val="en-NZ"/>
        </w:rPr>
        <w:t>Without amendment the deduction cap could apply to land which is taxable under other provisions.</w:t>
      </w:r>
    </w:p>
    <w:p w:rsidR="007271DE" w:rsidRPr="00DB4CC5" w:rsidRDefault="007271DE" w:rsidP="007271DE">
      <w:pPr>
        <w:rPr>
          <w:lang w:val="en-NZ"/>
        </w:rPr>
      </w:pPr>
    </w:p>
    <w:p w:rsidR="007271DE" w:rsidRPr="00DB4CC5" w:rsidRDefault="007271DE" w:rsidP="007271DE">
      <w:pPr>
        <w:pStyle w:val="Heading2"/>
        <w:rPr>
          <w:lang w:val="en-NZ"/>
        </w:rPr>
      </w:pPr>
      <w:r w:rsidRPr="00DB4CC5">
        <w:rPr>
          <w:lang w:val="en-NZ"/>
        </w:rPr>
        <w:t>Comment</w:t>
      </w:r>
    </w:p>
    <w:p w:rsidR="007271DE" w:rsidRPr="00DB4CC5" w:rsidRDefault="007271DE" w:rsidP="007271DE">
      <w:pPr>
        <w:rPr>
          <w:lang w:val="en-NZ"/>
        </w:rPr>
      </w:pPr>
    </w:p>
    <w:p w:rsidR="007271DE" w:rsidRPr="00DB4CC5" w:rsidRDefault="000E2453" w:rsidP="007271DE">
      <w:pPr>
        <w:rPr>
          <w:lang w:val="en-NZ"/>
        </w:rPr>
      </w:pPr>
      <w:r>
        <w:rPr>
          <w:lang w:val="en-NZ"/>
        </w:rPr>
        <w:t>The limit to losses from transfers to associated persons is only intended to apply to transactions taxable solely due to the bright-line test</w:t>
      </w:r>
      <w:r w:rsidR="00F16E3E">
        <w:rPr>
          <w:lang w:val="en-NZ"/>
        </w:rPr>
        <w:t>.  W</w:t>
      </w:r>
      <w:r w:rsidR="00BA061B">
        <w:rPr>
          <w:lang w:val="en-NZ"/>
        </w:rPr>
        <w:t>e agree that section DB 18 AB should be amended to reflect this.</w:t>
      </w:r>
    </w:p>
    <w:p w:rsidR="007271DE" w:rsidRPr="00DB4CC5" w:rsidRDefault="007271DE" w:rsidP="007271DE">
      <w:pPr>
        <w:rPr>
          <w:lang w:val="en-NZ"/>
        </w:rPr>
      </w:pPr>
    </w:p>
    <w:p w:rsidR="007271DE" w:rsidRPr="00DB4CC5" w:rsidRDefault="007271DE" w:rsidP="007271DE">
      <w:pPr>
        <w:pStyle w:val="Heading2"/>
        <w:rPr>
          <w:lang w:val="en-NZ"/>
        </w:rPr>
      </w:pPr>
      <w:r w:rsidRPr="00DB4CC5">
        <w:rPr>
          <w:lang w:val="en-NZ"/>
        </w:rPr>
        <w:t>Recommendation</w:t>
      </w:r>
    </w:p>
    <w:p w:rsidR="007271DE" w:rsidRPr="00DB4CC5" w:rsidRDefault="007271DE" w:rsidP="007271DE">
      <w:pPr>
        <w:rPr>
          <w:lang w:val="en-NZ"/>
        </w:rPr>
      </w:pPr>
    </w:p>
    <w:p w:rsidR="007271DE" w:rsidRPr="00DB4CC5" w:rsidRDefault="007271DE" w:rsidP="007271DE">
      <w:pPr>
        <w:rPr>
          <w:lang w:val="en-NZ"/>
        </w:rPr>
      </w:pPr>
      <w:r w:rsidRPr="00DB4CC5">
        <w:rPr>
          <w:lang w:val="en-NZ"/>
        </w:rPr>
        <w:t xml:space="preserve">That the submission be </w:t>
      </w:r>
      <w:r w:rsidR="000E2453">
        <w:rPr>
          <w:lang w:val="en-NZ"/>
        </w:rPr>
        <w:t>accepted.</w:t>
      </w:r>
    </w:p>
    <w:p w:rsidR="0084177D" w:rsidRPr="00DB4CC5" w:rsidRDefault="0084177D" w:rsidP="0084177D">
      <w:pPr>
        <w:pBdr>
          <w:bottom w:val="single" w:sz="4" w:space="1" w:color="auto"/>
        </w:pBdr>
        <w:rPr>
          <w:lang w:val="en-NZ"/>
        </w:rPr>
      </w:pPr>
    </w:p>
    <w:p w:rsidR="0084177D" w:rsidRDefault="0084177D" w:rsidP="0084177D">
      <w:pPr>
        <w:rPr>
          <w:lang w:val="en-NZ"/>
        </w:rPr>
      </w:pPr>
    </w:p>
    <w:p w:rsidR="0021448C" w:rsidRPr="00DB4CC5" w:rsidRDefault="0021448C" w:rsidP="0084177D">
      <w:pPr>
        <w:rPr>
          <w:lang w:val="en-NZ"/>
        </w:rPr>
      </w:pPr>
    </w:p>
    <w:p w:rsidR="0084177D" w:rsidRPr="00DB4CC5" w:rsidRDefault="0084177D" w:rsidP="0084177D">
      <w:pPr>
        <w:pStyle w:val="Heading5"/>
        <w:ind w:left="794" w:hanging="794"/>
        <w:rPr>
          <w:lang w:val="en-NZ"/>
        </w:rPr>
      </w:pPr>
      <w:bookmarkStart w:id="80" w:name="_Toc432411968"/>
      <w:r w:rsidRPr="00DB4CC5">
        <w:rPr>
          <w:lang w:val="en-NZ"/>
        </w:rPr>
        <w:t>Issue:</w:t>
      </w:r>
      <w:r w:rsidRPr="00DB4CC5">
        <w:rPr>
          <w:lang w:val="en-NZ"/>
        </w:rPr>
        <w:tab/>
      </w:r>
      <w:r>
        <w:rPr>
          <w:lang w:val="en-NZ"/>
        </w:rPr>
        <w:t xml:space="preserve">Cross-reference </w:t>
      </w:r>
      <w:r w:rsidR="00BA061B">
        <w:rPr>
          <w:lang w:val="en-NZ"/>
        </w:rPr>
        <w:t>error</w:t>
      </w:r>
      <w:bookmarkEnd w:id="80"/>
    </w:p>
    <w:p w:rsidR="0084177D" w:rsidRPr="00DB4CC5" w:rsidRDefault="0084177D" w:rsidP="0084177D">
      <w:pPr>
        <w:rPr>
          <w:lang w:val="en-NZ"/>
        </w:rPr>
      </w:pPr>
    </w:p>
    <w:p w:rsidR="0084177D" w:rsidRPr="00DB4CC5" w:rsidRDefault="0084177D" w:rsidP="0084177D">
      <w:pPr>
        <w:rPr>
          <w:lang w:val="en-NZ"/>
        </w:rPr>
      </w:pPr>
    </w:p>
    <w:p w:rsidR="0084177D" w:rsidRPr="00DB4CC5" w:rsidRDefault="0084177D" w:rsidP="0084177D">
      <w:pPr>
        <w:pStyle w:val="Heading2"/>
        <w:rPr>
          <w:lang w:val="en-NZ"/>
        </w:rPr>
      </w:pPr>
      <w:r w:rsidRPr="00DB4CC5">
        <w:rPr>
          <w:lang w:val="en-NZ"/>
        </w:rPr>
        <w:t>Submission</w:t>
      </w:r>
    </w:p>
    <w:p w:rsidR="0084177D" w:rsidRPr="00DB4CC5" w:rsidRDefault="0084177D" w:rsidP="0084177D">
      <w:pPr>
        <w:pStyle w:val="Heading4"/>
        <w:rPr>
          <w:lang w:val="en-NZ"/>
        </w:rPr>
      </w:pPr>
      <w:r>
        <w:rPr>
          <w:lang w:val="en-NZ"/>
        </w:rPr>
        <w:t>(</w:t>
      </w:r>
      <w:proofErr w:type="spellStart"/>
      <w:proofErr w:type="gramStart"/>
      <w:r>
        <w:rPr>
          <w:lang w:val="en-NZ"/>
        </w:rPr>
        <w:t>nsaTax</w:t>
      </w:r>
      <w:proofErr w:type="spellEnd"/>
      <w:proofErr w:type="gramEnd"/>
      <w:r>
        <w:rPr>
          <w:lang w:val="en-NZ"/>
        </w:rPr>
        <w:t>)</w:t>
      </w:r>
    </w:p>
    <w:p w:rsidR="0084177D" w:rsidRPr="00DB4CC5" w:rsidRDefault="0084177D" w:rsidP="0084177D">
      <w:pPr>
        <w:tabs>
          <w:tab w:val="left" w:pos="5295"/>
        </w:tabs>
        <w:rPr>
          <w:lang w:val="en-NZ"/>
        </w:rPr>
      </w:pPr>
    </w:p>
    <w:p w:rsidR="0084177D" w:rsidRPr="00DB4CC5" w:rsidRDefault="0084177D" w:rsidP="0084177D">
      <w:pPr>
        <w:rPr>
          <w:lang w:val="en-NZ"/>
        </w:rPr>
      </w:pPr>
      <w:r>
        <w:rPr>
          <w:lang w:val="en-NZ"/>
        </w:rPr>
        <w:t>Section D</w:t>
      </w:r>
      <w:r w:rsidR="00BA061B">
        <w:rPr>
          <w:lang w:val="en-NZ"/>
        </w:rPr>
        <w:t>B</w:t>
      </w:r>
      <w:r>
        <w:rPr>
          <w:lang w:val="en-NZ"/>
        </w:rPr>
        <w:t xml:space="preserve"> </w:t>
      </w:r>
      <w:proofErr w:type="gramStart"/>
      <w:r>
        <w:rPr>
          <w:lang w:val="en-NZ"/>
        </w:rPr>
        <w:t>18A(</w:t>
      </w:r>
      <w:proofErr w:type="gramEnd"/>
      <w:r>
        <w:rPr>
          <w:lang w:val="en-NZ"/>
        </w:rPr>
        <w:t>2) refers to subsection (3)</w:t>
      </w:r>
      <w:r w:rsidR="00F16E3E">
        <w:rPr>
          <w:lang w:val="en-NZ"/>
        </w:rPr>
        <w:t>.  T</w:t>
      </w:r>
      <w:r>
        <w:rPr>
          <w:lang w:val="en-NZ"/>
        </w:rPr>
        <w:t>he reference should be to subsection (4)</w:t>
      </w:r>
      <w:r w:rsidR="009E7F1E">
        <w:rPr>
          <w:lang w:val="en-NZ"/>
        </w:rPr>
        <w:t>.</w:t>
      </w:r>
    </w:p>
    <w:p w:rsidR="00BF4147" w:rsidRPr="00F45904" w:rsidRDefault="00BF4147" w:rsidP="00BF4147">
      <w:pPr>
        <w:rPr>
          <w:lang w:val="en-NZ"/>
        </w:rPr>
      </w:pPr>
    </w:p>
    <w:p w:rsidR="00BF4147" w:rsidRDefault="00BF4147" w:rsidP="00BF4147">
      <w:pPr>
        <w:rPr>
          <w:b/>
          <w:lang w:val="en-NZ"/>
        </w:rPr>
      </w:pPr>
      <w:r>
        <w:rPr>
          <w:b/>
          <w:lang w:val="en-NZ"/>
        </w:rPr>
        <w:t>Comment</w:t>
      </w:r>
    </w:p>
    <w:p w:rsidR="00BF4147" w:rsidRPr="00F45904" w:rsidRDefault="00BF4147" w:rsidP="00BF4147">
      <w:pPr>
        <w:rPr>
          <w:lang w:val="en-NZ"/>
        </w:rPr>
      </w:pPr>
    </w:p>
    <w:p w:rsidR="00BF4147" w:rsidRPr="003D5967" w:rsidRDefault="00BF4147" w:rsidP="00BF4147">
      <w:pPr>
        <w:rPr>
          <w:lang w:val="en-NZ"/>
        </w:rPr>
      </w:pPr>
      <w:r>
        <w:rPr>
          <w:lang w:val="en-NZ"/>
        </w:rPr>
        <w:t>Officials agree with the submission.</w:t>
      </w:r>
    </w:p>
    <w:p w:rsidR="0084177D" w:rsidRPr="00DB4CC5" w:rsidRDefault="0084177D" w:rsidP="0084177D">
      <w:pPr>
        <w:rPr>
          <w:lang w:val="en-NZ"/>
        </w:rPr>
      </w:pPr>
    </w:p>
    <w:p w:rsidR="0084177D" w:rsidRPr="00DB4CC5" w:rsidRDefault="0084177D" w:rsidP="0084177D">
      <w:pPr>
        <w:pStyle w:val="Heading2"/>
        <w:rPr>
          <w:lang w:val="en-NZ"/>
        </w:rPr>
      </w:pPr>
      <w:r w:rsidRPr="00DB4CC5">
        <w:rPr>
          <w:lang w:val="en-NZ"/>
        </w:rPr>
        <w:t>Recommendation</w:t>
      </w:r>
    </w:p>
    <w:p w:rsidR="0084177D" w:rsidRPr="00DB4CC5" w:rsidRDefault="0084177D" w:rsidP="0084177D">
      <w:pPr>
        <w:rPr>
          <w:lang w:val="en-NZ"/>
        </w:rPr>
      </w:pPr>
    </w:p>
    <w:p w:rsidR="0084177D" w:rsidRDefault="0084177D" w:rsidP="0084177D">
      <w:pPr>
        <w:rPr>
          <w:lang w:val="en-NZ"/>
        </w:rPr>
      </w:pPr>
      <w:r w:rsidRPr="00DB4CC5">
        <w:rPr>
          <w:lang w:val="en-NZ"/>
        </w:rPr>
        <w:t xml:space="preserve">That the submission be </w:t>
      </w:r>
      <w:r w:rsidR="00BA061B">
        <w:rPr>
          <w:lang w:val="en-NZ"/>
        </w:rPr>
        <w:t>accepted.</w:t>
      </w:r>
    </w:p>
    <w:p w:rsidR="002C02A3" w:rsidRPr="00DB4CC5" w:rsidRDefault="002C02A3" w:rsidP="002C02A3">
      <w:pPr>
        <w:pBdr>
          <w:bottom w:val="single" w:sz="4" w:space="1" w:color="auto"/>
        </w:pBdr>
        <w:rPr>
          <w:lang w:val="en-NZ"/>
        </w:rPr>
      </w:pPr>
    </w:p>
    <w:p w:rsidR="002C02A3" w:rsidRDefault="002C02A3" w:rsidP="0084177D">
      <w:pPr>
        <w:rPr>
          <w:lang w:val="en-NZ"/>
        </w:rPr>
      </w:pPr>
    </w:p>
    <w:p w:rsidR="007C0E22" w:rsidRDefault="007C0E22">
      <w:pPr>
        <w:jc w:val="left"/>
        <w:rPr>
          <w:b/>
          <w:sz w:val="26"/>
          <w:lang w:val="en-NZ"/>
        </w:rPr>
      </w:pPr>
      <w:r>
        <w:rPr>
          <w:lang w:val="en-NZ"/>
        </w:rPr>
        <w:br w:type="page"/>
      </w:r>
    </w:p>
    <w:p w:rsidR="002C02A3" w:rsidRPr="00DB4CC5" w:rsidRDefault="002C02A3" w:rsidP="002C02A3">
      <w:pPr>
        <w:pStyle w:val="Heading5"/>
        <w:ind w:left="794" w:hanging="794"/>
        <w:rPr>
          <w:lang w:val="en-NZ"/>
        </w:rPr>
      </w:pPr>
      <w:bookmarkStart w:id="81" w:name="_Toc432411969"/>
      <w:r w:rsidRPr="00DB4CC5">
        <w:rPr>
          <w:lang w:val="en-NZ"/>
        </w:rPr>
        <w:t>Issue:</w:t>
      </w:r>
      <w:r w:rsidRPr="00DB4CC5">
        <w:rPr>
          <w:lang w:val="en-NZ"/>
        </w:rPr>
        <w:tab/>
      </w:r>
      <w:r>
        <w:rPr>
          <w:lang w:val="en-NZ"/>
        </w:rPr>
        <w:t>Adjusting cost base of associate</w:t>
      </w:r>
      <w:bookmarkEnd w:id="81"/>
    </w:p>
    <w:p w:rsidR="002C02A3" w:rsidRPr="00DB4CC5" w:rsidRDefault="002C02A3" w:rsidP="002C02A3">
      <w:pPr>
        <w:rPr>
          <w:lang w:val="en-NZ"/>
        </w:rPr>
      </w:pPr>
    </w:p>
    <w:p w:rsidR="002C02A3" w:rsidRPr="00DB4CC5" w:rsidRDefault="002C02A3" w:rsidP="002C02A3">
      <w:pPr>
        <w:rPr>
          <w:lang w:val="en-NZ"/>
        </w:rPr>
      </w:pPr>
    </w:p>
    <w:p w:rsidR="002C02A3" w:rsidRPr="00DB4CC5" w:rsidRDefault="002C02A3" w:rsidP="002C02A3">
      <w:pPr>
        <w:pStyle w:val="Heading2"/>
        <w:rPr>
          <w:lang w:val="en-NZ"/>
        </w:rPr>
      </w:pPr>
      <w:r w:rsidRPr="00DB4CC5">
        <w:rPr>
          <w:lang w:val="en-NZ"/>
        </w:rPr>
        <w:t>Submission</w:t>
      </w:r>
    </w:p>
    <w:p w:rsidR="002C02A3" w:rsidRPr="00DB4CC5" w:rsidRDefault="002C02A3" w:rsidP="002C02A3">
      <w:pPr>
        <w:pStyle w:val="Heading4"/>
        <w:rPr>
          <w:lang w:val="en-NZ"/>
        </w:rPr>
      </w:pPr>
      <w:r>
        <w:rPr>
          <w:lang w:val="en-NZ"/>
        </w:rPr>
        <w:t>(EY</w:t>
      </w:r>
      <w:r w:rsidR="00295DC2">
        <w:rPr>
          <w:lang w:val="en-NZ"/>
        </w:rPr>
        <w:t>, Chapman Tripp</w:t>
      </w:r>
      <w:r>
        <w:rPr>
          <w:lang w:val="en-NZ"/>
        </w:rPr>
        <w:t>)</w:t>
      </w:r>
    </w:p>
    <w:p w:rsidR="002C02A3" w:rsidRPr="00DB4CC5" w:rsidRDefault="002C02A3" w:rsidP="002C02A3">
      <w:pPr>
        <w:tabs>
          <w:tab w:val="left" w:pos="5295"/>
        </w:tabs>
        <w:rPr>
          <w:lang w:val="en-NZ"/>
        </w:rPr>
      </w:pPr>
    </w:p>
    <w:p w:rsidR="002C02A3" w:rsidRDefault="002C02A3" w:rsidP="002C02A3">
      <w:pPr>
        <w:rPr>
          <w:lang w:val="en-NZ"/>
        </w:rPr>
      </w:pPr>
      <w:r>
        <w:rPr>
          <w:lang w:val="en-NZ"/>
        </w:rPr>
        <w:t xml:space="preserve">Any </w:t>
      </w:r>
      <w:proofErr w:type="spellStart"/>
      <w:r>
        <w:rPr>
          <w:lang w:val="en-NZ"/>
        </w:rPr>
        <w:t>undeducted</w:t>
      </w:r>
      <w:proofErr w:type="spellEnd"/>
      <w:r>
        <w:rPr>
          <w:lang w:val="en-NZ"/>
        </w:rPr>
        <w:t xml:space="preserve"> cost balance for the transferor should become part of the cost base for the associated transferee.</w:t>
      </w:r>
    </w:p>
    <w:p w:rsidR="002C02A3" w:rsidRDefault="002C02A3" w:rsidP="002C02A3">
      <w:pPr>
        <w:rPr>
          <w:lang w:val="en-NZ"/>
        </w:rPr>
      </w:pPr>
    </w:p>
    <w:p w:rsidR="002C02A3" w:rsidRDefault="002C02A3" w:rsidP="002C02A3">
      <w:pPr>
        <w:rPr>
          <w:lang w:val="en-NZ"/>
        </w:rPr>
      </w:pPr>
      <w:r>
        <w:rPr>
          <w:lang w:val="en-NZ"/>
        </w:rPr>
        <w:t>When transferees acquire land from associated persons they should also be treated as acquiring the land at the same date as the transferor.</w:t>
      </w:r>
    </w:p>
    <w:p w:rsidR="00295DC2" w:rsidRDefault="00295DC2" w:rsidP="002C02A3">
      <w:pPr>
        <w:rPr>
          <w:lang w:val="en-NZ"/>
        </w:rPr>
      </w:pPr>
    </w:p>
    <w:p w:rsidR="00295DC2" w:rsidRPr="00DB4CC5" w:rsidRDefault="00295DC2" w:rsidP="002C02A3">
      <w:pPr>
        <w:rPr>
          <w:lang w:val="en-NZ"/>
        </w:rPr>
      </w:pPr>
      <w:r>
        <w:rPr>
          <w:lang w:val="en-NZ"/>
        </w:rPr>
        <w:t>This may however create the ability for associated persons to transfer losses.</w:t>
      </w:r>
    </w:p>
    <w:p w:rsidR="002C02A3" w:rsidRPr="00DB4CC5" w:rsidRDefault="002C02A3" w:rsidP="002C02A3">
      <w:pPr>
        <w:rPr>
          <w:lang w:val="en-NZ"/>
        </w:rPr>
      </w:pPr>
    </w:p>
    <w:p w:rsidR="002C02A3" w:rsidRPr="00DB4CC5" w:rsidRDefault="002C02A3" w:rsidP="002C02A3">
      <w:pPr>
        <w:pStyle w:val="Heading2"/>
        <w:rPr>
          <w:lang w:val="en-NZ"/>
        </w:rPr>
      </w:pPr>
      <w:r w:rsidRPr="00DB4CC5">
        <w:rPr>
          <w:lang w:val="en-NZ"/>
        </w:rPr>
        <w:t>Comment</w:t>
      </w:r>
    </w:p>
    <w:p w:rsidR="002C02A3" w:rsidRPr="00DB4CC5" w:rsidRDefault="002C02A3" w:rsidP="002C02A3">
      <w:pPr>
        <w:rPr>
          <w:lang w:val="en-NZ"/>
        </w:rPr>
      </w:pPr>
    </w:p>
    <w:p w:rsidR="002C02A3" w:rsidRDefault="007D682D" w:rsidP="002C02A3">
      <w:pPr>
        <w:rPr>
          <w:lang w:val="en-NZ"/>
        </w:rPr>
      </w:pPr>
      <w:r>
        <w:rPr>
          <w:lang w:val="en-NZ"/>
        </w:rPr>
        <w:t>We agree with submitters that</w:t>
      </w:r>
      <w:r w:rsidR="00905068">
        <w:rPr>
          <w:lang w:val="en-NZ"/>
        </w:rPr>
        <w:t xml:space="preserve"> </w:t>
      </w:r>
      <w:r>
        <w:rPr>
          <w:lang w:val="en-NZ"/>
        </w:rPr>
        <w:t>i</w:t>
      </w:r>
      <w:r w:rsidR="00905068">
        <w:rPr>
          <w:lang w:val="en-NZ"/>
        </w:rPr>
        <w:t xml:space="preserve">f the cost base of the asset is not adjusted it could result in genuine losses being </w:t>
      </w:r>
      <w:r w:rsidR="009E7F1E">
        <w:rPr>
          <w:lang w:val="en-NZ"/>
        </w:rPr>
        <w:t xml:space="preserve">denied permanently </w:t>
      </w:r>
      <w:r w:rsidR="00905068">
        <w:rPr>
          <w:lang w:val="en-NZ"/>
        </w:rPr>
        <w:t>due to an intermediate transfer to an associated person</w:t>
      </w:r>
      <w:r w:rsidR="00F16E3E">
        <w:rPr>
          <w:lang w:val="en-NZ"/>
        </w:rPr>
        <w:t>.  A</w:t>
      </w:r>
      <w:r w:rsidR="00BF4147">
        <w:rPr>
          <w:lang w:val="en-NZ"/>
        </w:rPr>
        <w:t>s a result we recommend providing an adjusted cost base to the transferee.</w:t>
      </w:r>
    </w:p>
    <w:p w:rsidR="007D682D" w:rsidRDefault="007D682D" w:rsidP="002C02A3">
      <w:pPr>
        <w:rPr>
          <w:lang w:val="en-NZ"/>
        </w:rPr>
      </w:pPr>
    </w:p>
    <w:p w:rsidR="007D682D" w:rsidRPr="00DB4CC5" w:rsidRDefault="00E72E4B" w:rsidP="002C02A3">
      <w:pPr>
        <w:rPr>
          <w:lang w:val="en-NZ"/>
        </w:rPr>
      </w:pPr>
      <w:r>
        <w:rPr>
          <w:lang w:val="en-NZ"/>
        </w:rPr>
        <w:t>H</w:t>
      </w:r>
      <w:r w:rsidR="007D682D">
        <w:rPr>
          <w:lang w:val="en-NZ"/>
        </w:rPr>
        <w:t>owever</w:t>
      </w:r>
      <w:r>
        <w:rPr>
          <w:lang w:val="en-NZ"/>
        </w:rPr>
        <w:t xml:space="preserve"> we</w:t>
      </w:r>
      <w:r w:rsidR="007D682D">
        <w:rPr>
          <w:lang w:val="en-NZ"/>
        </w:rPr>
        <w:t xml:space="preserve"> do not recommend adjusting the date of acquisition for the transferee</w:t>
      </w:r>
      <w:r w:rsidR="00F16E3E">
        <w:rPr>
          <w:lang w:val="en-NZ"/>
        </w:rPr>
        <w:t>.  W</w:t>
      </w:r>
      <w:r w:rsidR="007D682D">
        <w:rPr>
          <w:lang w:val="en-NZ"/>
        </w:rPr>
        <w:t>e consider that the rule will be simpler if the date of acquisition remains unchanged for associated party transfers</w:t>
      </w:r>
      <w:r w:rsidR="00F16E3E">
        <w:rPr>
          <w:lang w:val="en-NZ"/>
        </w:rPr>
        <w:t>.  W</w:t>
      </w:r>
      <w:r w:rsidR="007D682D">
        <w:rPr>
          <w:lang w:val="en-NZ"/>
        </w:rPr>
        <w:t xml:space="preserve">e also note that in the case of a property that has made a genuine loss, </w:t>
      </w:r>
      <w:r w:rsidR="00BF4147">
        <w:rPr>
          <w:lang w:val="en-NZ"/>
        </w:rPr>
        <w:t>having a longer bright-line period would be more taxpayer</w:t>
      </w:r>
      <w:r w:rsidR="004245F7">
        <w:rPr>
          <w:lang w:val="en-NZ"/>
        </w:rPr>
        <w:t>-</w:t>
      </w:r>
      <w:r w:rsidR="00BF4147">
        <w:rPr>
          <w:lang w:val="en-NZ"/>
        </w:rPr>
        <w:t>friendly.</w:t>
      </w:r>
    </w:p>
    <w:p w:rsidR="002C02A3" w:rsidRPr="00DB4CC5" w:rsidRDefault="002C02A3" w:rsidP="002C02A3">
      <w:pPr>
        <w:rPr>
          <w:lang w:val="en-NZ"/>
        </w:rPr>
      </w:pPr>
    </w:p>
    <w:p w:rsidR="002C02A3" w:rsidRPr="00DB4CC5" w:rsidRDefault="002C02A3" w:rsidP="002C02A3">
      <w:pPr>
        <w:pStyle w:val="Heading2"/>
        <w:rPr>
          <w:lang w:val="en-NZ"/>
        </w:rPr>
      </w:pPr>
      <w:r w:rsidRPr="00DB4CC5">
        <w:rPr>
          <w:lang w:val="en-NZ"/>
        </w:rPr>
        <w:t>Recommendation</w:t>
      </w:r>
    </w:p>
    <w:p w:rsidR="002C02A3" w:rsidRPr="00DB4CC5" w:rsidRDefault="002C02A3" w:rsidP="002C02A3">
      <w:pPr>
        <w:rPr>
          <w:lang w:val="en-NZ"/>
        </w:rPr>
      </w:pPr>
    </w:p>
    <w:p w:rsidR="002C02A3" w:rsidRPr="00DB4CC5" w:rsidRDefault="002C02A3" w:rsidP="002C02A3">
      <w:pPr>
        <w:rPr>
          <w:lang w:val="en-NZ"/>
        </w:rPr>
      </w:pPr>
      <w:r w:rsidRPr="00DB4CC5">
        <w:rPr>
          <w:lang w:val="en-NZ"/>
        </w:rPr>
        <w:t xml:space="preserve">That the submission be </w:t>
      </w:r>
      <w:r w:rsidR="007D682D">
        <w:rPr>
          <w:lang w:val="en-NZ"/>
        </w:rPr>
        <w:t>accepted</w:t>
      </w:r>
      <w:r w:rsidR="004245F7">
        <w:rPr>
          <w:lang w:val="en-NZ"/>
        </w:rPr>
        <w:t>,</w:t>
      </w:r>
      <w:r w:rsidR="007D682D">
        <w:rPr>
          <w:lang w:val="en-NZ"/>
        </w:rPr>
        <w:t xml:space="preserve"> subject to </w:t>
      </w:r>
      <w:r w:rsidR="00BF4147">
        <w:rPr>
          <w:lang w:val="en-NZ"/>
        </w:rPr>
        <w:t>officials’</w:t>
      </w:r>
      <w:r w:rsidR="007D682D">
        <w:rPr>
          <w:lang w:val="en-NZ"/>
        </w:rPr>
        <w:t xml:space="preserve"> comments.</w:t>
      </w:r>
    </w:p>
    <w:p w:rsidR="002C02A3" w:rsidRPr="00DB4CC5" w:rsidRDefault="002C02A3" w:rsidP="002C02A3">
      <w:pPr>
        <w:pBdr>
          <w:bottom w:val="single" w:sz="4" w:space="1" w:color="auto"/>
        </w:pBdr>
        <w:rPr>
          <w:lang w:val="en-NZ"/>
        </w:rPr>
      </w:pPr>
    </w:p>
    <w:p w:rsidR="002C02A3" w:rsidRDefault="002C02A3" w:rsidP="002C02A3">
      <w:pPr>
        <w:rPr>
          <w:lang w:val="en-NZ"/>
        </w:rPr>
      </w:pPr>
    </w:p>
    <w:p w:rsidR="002C02A3" w:rsidRPr="00DB4CC5" w:rsidRDefault="002C02A3" w:rsidP="0084177D">
      <w:pPr>
        <w:rPr>
          <w:lang w:val="en-NZ"/>
        </w:rPr>
      </w:pPr>
    </w:p>
    <w:p w:rsidR="00490891" w:rsidRPr="00DB4CC5" w:rsidRDefault="00490891" w:rsidP="00536A68">
      <w:pPr>
        <w:rPr>
          <w:lang w:val="en-NZ"/>
        </w:rPr>
      </w:pPr>
    </w:p>
    <w:p w:rsidR="00D95FF8" w:rsidRDefault="00D95FF8">
      <w:pPr>
        <w:jc w:val="left"/>
        <w:rPr>
          <w:lang w:val="en-NZ"/>
        </w:rPr>
      </w:pPr>
      <w:r>
        <w:rPr>
          <w:lang w:val="en-NZ"/>
        </w:rPr>
        <w:br w:type="page"/>
      </w:r>
    </w:p>
    <w:p w:rsidR="00D95FF8" w:rsidRPr="00DB4CC5" w:rsidRDefault="00D95FF8" w:rsidP="00D95FF8">
      <w:pPr>
        <w:pStyle w:val="Heading1"/>
      </w:pPr>
      <w:bookmarkStart w:id="82" w:name="_Toc432411970"/>
      <w:r>
        <w:t>Land-rich companies and trusts</w:t>
      </w:r>
      <w:bookmarkEnd w:id="82"/>
    </w:p>
    <w:p w:rsidR="00D95FF8" w:rsidRPr="00DB4CC5" w:rsidRDefault="00D95FF8" w:rsidP="00D95FF8">
      <w:pPr>
        <w:rPr>
          <w:lang w:val="en-NZ"/>
        </w:rPr>
      </w:pPr>
    </w:p>
    <w:p w:rsidR="00D95FF8" w:rsidRDefault="00D95FF8" w:rsidP="00D95FF8">
      <w:pPr>
        <w:pStyle w:val="Heading3"/>
        <w:rPr>
          <w:lang w:val="en-NZ"/>
        </w:rPr>
      </w:pPr>
      <w:r>
        <w:rPr>
          <w:lang w:val="en-NZ"/>
        </w:rPr>
        <w:t xml:space="preserve">Clause </w:t>
      </w:r>
      <w:r w:rsidR="001C3067">
        <w:rPr>
          <w:lang w:val="en-NZ"/>
        </w:rPr>
        <w:t>14</w:t>
      </w:r>
    </w:p>
    <w:p w:rsidR="00D95FF8" w:rsidRDefault="00D95FF8" w:rsidP="00D95FF8">
      <w:pPr>
        <w:rPr>
          <w:lang w:val="en-NZ"/>
        </w:rPr>
      </w:pPr>
    </w:p>
    <w:p w:rsidR="00D95FF8" w:rsidRPr="00DB4CC5" w:rsidRDefault="00D95FF8" w:rsidP="00D95FF8">
      <w:pPr>
        <w:rPr>
          <w:lang w:val="en-NZ"/>
        </w:rPr>
      </w:pPr>
    </w:p>
    <w:p w:rsidR="00D95FF8" w:rsidRPr="00DB4CC5" w:rsidRDefault="00D95FF8" w:rsidP="00D95FF8">
      <w:pPr>
        <w:pStyle w:val="Heading5"/>
        <w:ind w:left="794" w:hanging="794"/>
        <w:rPr>
          <w:lang w:val="en-NZ"/>
        </w:rPr>
      </w:pPr>
      <w:bookmarkStart w:id="83" w:name="_Toc432411971"/>
      <w:r w:rsidRPr="00DB4CC5">
        <w:rPr>
          <w:lang w:val="en-NZ"/>
        </w:rPr>
        <w:t>Issue:</w:t>
      </w:r>
      <w:r w:rsidRPr="00DB4CC5">
        <w:rPr>
          <w:lang w:val="en-NZ"/>
        </w:rPr>
        <w:tab/>
      </w:r>
      <w:r w:rsidR="003C0E48">
        <w:rPr>
          <w:lang w:val="en-NZ"/>
        </w:rPr>
        <w:t>Support for proposed</w:t>
      </w:r>
      <w:r w:rsidR="005840A1">
        <w:rPr>
          <w:lang w:val="en-NZ"/>
        </w:rPr>
        <w:t xml:space="preserve"> anti-avoidance</w:t>
      </w:r>
      <w:r w:rsidR="003C0E48">
        <w:rPr>
          <w:lang w:val="en-NZ"/>
        </w:rPr>
        <w:t xml:space="preserve"> rule</w:t>
      </w:r>
      <w:bookmarkEnd w:id="83"/>
    </w:p>
    <w:p w:rsidR="00D95FF8" w:rsidRPr="00DB4CC5" w:rsidRDefault="00D95FF8" w:rsidP="00D95FF8">
      <w:pPr>
        <w:rPr>
          <w:lang w:val="en-NZ"/>
        </w:rPr>
      </w:pPr>
    </w:p>
    <w:p w:rsidR="00D95FF8" w:rsidRPr="00DB4CC5" w:rsidRDefault="00D95FF8" w:rsidP="00D95FF8">
      <w:pPr>
        <w:rPr>
          <w:lang w:val="en-NZ"/>
        </w:rPr>
      </w:pPr>
    </w:p>
    <w:p w:rsidR="00D95FF8" w:rsidRPr="00DB4CC5" w:rsidRDefault="00D95FF8" w:rsidP="00D95FF8">
      <w:pPr>
        <w:pStyle w:val="Heading2"/>
        <w:rPr>
          <w:lang w:val="en-NZ"/>
        </w:rPr>
      </w:pPr>
      <w:r w:rsidRPr="00DB4CC5">
        <w:rPr>
          <w:lang w:val="en-NZ"/>
        </w:rPr>
        <w:t>Submission</w:t>
      </w:r>
    </w:p>
    <w:p w:rsidR="00D95FF8" w:rsidRPr="00DB4CC5" w:rsidRDefault="00D95FF8" w:rsidP="00D95FF8">
      <w:pPr>
        <w:pStyle w:val="Heading4"/>
        <w:rPr>
          <w:lang w:val="en-NZ"/>
        </w:rPr>
      </w:pPr>
      <w:r w:rsidRPr="00DB4CC5">
        <w:rPr>
          <w:lang w:val="en-NZ"/>
        </w:rPr>
        <w:t>(</w:t>
      </w:r>
      <w:r w:rsidR="003C0E48">
        <w:rPr>
          <w:lang w:val="en-NZ"/>
        </w:rPr>
        <w:t xml:space="preserve">New Zealand Property Investors’ Federation </w:t>
      </w:r>
      <w:proofErr w:type="spellStart"/>
      <w:r w:rsidR="003C0E48">
        <w:rPr>
          <w:lang w:val="en-NZ"/>
        </w:rPr>
        <w:t>Inc</w:t>
      </w:r>
      <w:proofErr w:type="spellEnd"/>
      <w:r w:rsidRPr="00DB4CC5">
        <w:rPr>
          <w:lang w:val="en-NZ"/>
        </w:rPr>
        <w:t>)</w:t>
      </w:r>
    </w:p>
    <w:p w:rsidR="00D95FF8" w:rsidRPr="00DB4CC5" w:rsidRDefault="00D95FF8" w:rsidP="00D95FF8">
      <w:pPr>
        <w:tabs>
          <w:tab w:val="left" w:pos="5295"/>
        </w:tabs>
        <w:rPr>
          <w:lang w:val="en-NZ"/>
        </w:rPr>
      </w:pPr>
    </w:p>
    <w:p w:rsidR="006F08A6" w:rsidRDefault="00905068" w:rsidP="00D95FF8">
      <w:pPr>
        <w:rPr>
          <w:lang w:val="en-NZ"/>
        </w:rPr>
      </w:pPr>
      <w:r>
        <w:rPr>
          <w:lang w:val="en-NZ"/>
        </w:rPr>
        <w:t xml:space="preserve">The submitter </w:t>
      </w:r>
      <w:r w:rsidR="003C0E48">
        <w:rPr>
          <w:lang w:val="en-NZ"/>
        </w:rPr>
        <w:t>support</w:t>
      </w:r>
      <w:r w:rsidR="004245F7">
        <w:rPr>
          <w:lang w:val="en-NZ"/>
        </w:rPr>
        <w:t>s</w:t>
      </w:r>
      <w:r w:rsidR="003C0E48">
        <w:rPr>
          <w:lang w:val="en-NZ"/>
        </w:rPr>
        <w:t xml:space="preserve"> rules to prevent the use of companies and trusts to circumvent the bright-line test.</w:t>
      </w:r>
    </w:p>
    <w:p w:rsidR="00D95FF8" w:rsidRPr="00DB4CC5" w:rsidRDefault="00D95FF8" w:rsidP="00D95FF8">
      <w:pPr>
        <w:rPr>
          <w:lang w:val="en-NZ"/>
        </w:rPr>
      </w:pPr>
    </w:p>
    <w:p w:rsidR="00D95FF8" w:rsidRPr="00DB4CC5" w:rsidRDefault="00D95FF8" w:rsidP="00D95FF8">
      <w:pPr>
        <w:pStyle w:val="Heading2"/>
        <w:rPr>
          <w:lang w:val="en-NZ"/>
        </w:rPr>
      </w:pPr>
      <w:r w:rsidRPr="00DB4CC5">
        <w:rPr>
          <w:lang w:val="en-NZ"/>
        </w:rPr>
        <w:t>Recommendation</w:t>
      </w:r>
    </w:p>
    <w:p w:rsidR="00D95FF8" w:rsidRPr="00DB4CC5" w:rsidRDefault="00D95FF8" w:rsidP="00D95FF8">
      <w:pPr>
        <w:rPr>
          <w:lang w:val="en-NZ"/>
        </w:rPr>
      </w:pPr>
    </w:p>
    <w:p w:rsidR="00D95FF8" w:rsidRPr="00DB4CC5" w:rsidRDefault="00D95FF8" w:rsidP="00D95FF8">
      <w:pPr>
        <w:rPr>
          <w:lang w:val="en-NZ"/>
        </w:rPr>
      </w:pPr>
      <w:r w:rsidRPr="00DB4CC5">
        <w:rPr>
          <w:lang w:val="en-NZ"/>
        </w:rPr>
        <w:t xml:space="preserve">That the submission be </w:t>
      </w:r>
      <w:r w:rsidR="003E6474">
        <w:rPr>
          <w:lang w:val="en-NZ"/>
        </w:rPr>
        <w:t>noted.</w:t>
      </w:r>
    </w:p>
    <w:p w:rsidR="00D95FF8" w:rsidRPr="00DB4CC5" w:rsidRDefault="00D95FF8" w:rsidP="00D95FF8">
      <w:pPr>
        <w:pBdr>
          <w:bottom w:val="single" w:sz="4" w:space="1" w:color="auto"/>
        </w:pBdr>
        <w:rPr>
          <w:lang w:val="en-NZ"/>
        </w:rPr>
      </w:pPr>
    </w:p>
    <w:p w:rsidR="00D95FF8" w:rsidRDefault="00D95FF8" w:rsidP="00D95FF8">
      <w:pPr>
        <w:rPr>
          <w:lang w:val="en-NZ"/>
        </w:rPr>
      </w:pPr>
    </w:p>
    <w:p w:rsidR="0021448C" w:rsidRPr="00DB4CC5" w:rsidRDefault="0021448C" w:rsidP="00D95FF8">
      <w:pPr>
        <w:rPr>
          <w:lang w:val="en-NZ"/>
        </w:rPr>
      </w:pPr>
    </w:p>
    <w:p w:rsidR="00D95FF8" w:rsidRPr="00DB4CC5" w:rsidRDefault="00D95FF8" w:rsidP="00D95FF8">
      <w:pPr>
        <w:pStyle w:val="Heading5"/>
        <w:ind w:left="794" w:hanging="794"/>
        <w:rPr>
          <w:lang w:val="en-NZ"/>
        </w:rPr>
      </w:pPr>
      <w:bookmarkStart w:id="84" w:name="_Toc432411972"/>
      <w:r w:rsidRPr="00DB4CC5">
        <w:rPr>
          <w:lang w:val="en-NZ"/>
        </w:rPr>
        <w:t>Issue:</w:t>
      </w:r>
      <w:r w:rsidRPr="00DB4CC5">
        <w:rPr>
          <w:lang w:val="en-NZ"/>
        </w:rPr>
        <w:tab/>
      </w:r>
      <w:r w:rsidR="005840A1">
        <w:rPr>
          <w:lang w:val="en-NZ"/>
        </w:rPr>
        <w:t>Opposition to proposed anti-avoidance rule</w:t>
      </w:r>
      <w:bookmarkEnd w:id="84"/>
    </w:p>
    <w:p w:rsidR="00D95FF8" w:rsidRPr="00DB4CC5" w:rsidRDefault="00D95FF8" w:rsidP="00D95FF8">
      <w:pPr>
        <w:rPr>
          <w:lang w:val="en-NZ"/>
        </w:rPr>
      </w:pPr>
    </w:p>
    <w:p w:rsidR="00D95FF8" w:rsidRPr="00DB4CC5" w:rsidRDefault="00D95FF8" w:rsidP="00D95FF8">
      <w:pPr>
        <w:rPr>
          <w:lang w:val="en-NZ"/>
        </w:rPr>
      </w:pPr>
    </w:p>
    <w:p w:rsidR="00D95FF8" w:rsidRPr="00DB4CC5" w:rsidRDefault="00D95FF8" w:rsidP="00D95FF8">
      <w:pPr>
        <w:pStyle w:val="Heading2"/>
        <w:rPr>
          <w:lang w:val="en-NZ"/>
        </w:rPr>
      </w:pPr>
      <w:r w:rsidRPr="00DB4CC5">
        <w:rPr>
          <w:lang w:val="en-NZ"/>
        </w:rPr>
        <w:t>Submission</w:t>
      </w:r>
    </w:p>
    <w:p w:rsidR="00D95FF8" w:rsidRPr="00DB4CC5" w:rsidRDefault="005A4DB7" w:rsidP="00D95FF8">
      <w:pPr>
        <w:pStyle w:val="Heading4"/>
        <w:rPr>
          <w:lang w:val="en-NZ"/>
        </w:rPr>
      </w:pPr>
      <w:r>
        <w:rPr>
          <w:lang w:val="en-NZ"/>
        </w:rPr>
        <w:t xml:space="preserve">(New Zealand Law Society, Chartered Accountants Australia and New Zealand, </w:t>
      </w:r>
      <w:r w:rsidR="004245F7">
        <w:rPr>
          <w:lang w:val="en-NZ"/>
        </w:rPr>
        <w:t>P</w:t>
      </w:r>
      <w:r w:rsidR="008602CC">
        <w:rPr>
          <w:lang w:val="en-NZ"/>
        </w:rPr>
        <w:t>w</w:t>
      </w:r>
      <w:r w:rsidR="004245F7">
        <w:rPr>
          <w:lang w:val="en-NZ"/>
        </w:rPr>
        <w:t>C</w:t>
      </w:r>
      <w:r w:rsidR="00295DC2">
        <w:rPr>
          <w:lang w:val="en-NZ"/>
        </w:rPr>
        <w:t>, Chapman Tripp</w:t>
      </w:r>
      <w:r w:rsidR="00226D43">
        <w:rPr>
          <w:lang w:val="en-NZ"/>
        </w:rPr>
        <w:t>, KPMG</w:t>
      </w:r>
      <w:r w:rsidR="00FC2AD1">
        <w:rPr>
          <w:lang w:val="en-NZ"/>
        </w:rPr>
        <w:t>)</w:t>
      </w:r>
    </w:p>
    <w:p w:rsidR="00D95FF8" w:rsidRPr="00DB4CC5" w:rsidRDefault="00D95FF8" w:rsidP="00D95FF8">
      <w:pPr>
        <w:tabs>
          <w:tab w:val="left" w:pos="5295"/>
        </w:tabs>
        <w:rPr>
          <w:lang w:val="en-NZ"/>
        </w:rPr>
      </w:pPr>
    </w:p>
    <w:p w:rsidR="003E6474" w:rsidRDefault="003E6474" w:rsidP="00D95FF8">
      <w:pPr>
        <w:rPr>
          <w:lang w:val="en-NZ"/>
        </w:rPr>
      </w:pPr>
      <w:r>
        <w:rPr>
          <w:lang w:val="en-NZ"/>
        </w:rPr>
        <w:t>Submitters did not support the proposed anti-avoidance rule</w:t>
      </w:r>
      <w:r w:rsidR="00F16E3E">
        <w:rPr>
          <w:lang w:val="en-NZ"/>
        </w:rPr>
        <w:t>.  R</w:t>
      </w:r>
      <w:r>
        <w:rPr>
          <w:lang w:val="en-NZ"/>
        </w:rPr>
        <w:t>easons given for this opposition included:</w:t>
      </w:r>
    </w:p>
    <w:p w:rsidR="0021448C" w:rsidRDefault="0021448C" w:rsidP="00D95FF8">
      <w:pPr>
        <w:rPr>
          <w:lang w:val="en-NZ"/>
        </w:rPr>
      </w:pPr>
    </w:p>
    <w:p w:rsidR="003E6474" w:rsidRDefault="004245F7" w:rsidP="0021448C">
      <w:pPr>
        <w:pStyle w:val="Bullets"/>
        <w:tabs>
          <w:tab w:val="clear" w:pos="851"/>
        </w:tabs>
        <w:spacing w:after="140"/>
        <w:ind w:left="567" w:hanging="567"/>
        <w:jc w:val="both"/>
        <w:rPr>
          <w:lang w:val="en-NZ"/>
        </w:rPr>
      </w:pPr>
      <w:r>
        <w:rPr>
          <w:lang w:val="en-NZ"/>
        </w:rPr>
        <w:t>T</w:t>
      </w:r>
      <w:r w:rsidR="006F08A6" w:rsidRPr="003E6474">
        <w:rPr>
          <w:lang w:val="en-NZ"/>
        </w:rPr>
        <w:t>he general anti-avoidance rule gives Inland Revenue sufficient power to challenge those who act to avoid the bright-line test</w:t>
      </w:r>
      <w:r w:rsidR="00F16E3E">
        <w:rPr>
          <w:lang w:val="en-NZ"/>
        </w:rPr>
        <w:t>.  I</w:t>
      </w:r>
      <w:r w:rsidR="00174907" w:rsidRPr="003E6474">
        <w:rPr>
          <w:lang w:val="en-NZ"/>
        </w:rPr>
        <w:t>n addition</w:t>
      </w:r>
      <w:r w:rsidR="005D15DA">
        <w:rPr>
          <w:lang w:val="en-NZ"/>
        </w:rPr>
        <w:t>,</w:t>
      </w:r>
      <w:r w:rsidR="00174907" w:rsidRPr="003E6474">
        <w:rPr>
          <w:lang w:val="en-NZ"/>
        </w:rPr>
        <w:t xml:space="preserve"> </w:t>
      </w:r>
      <w:r w:rsidR="00905068" w:rsidRPr="003E6474">
        <w:rPr>
          <w:lang w:val="en-NZ"/>
        </w:rPr>
        <w:t>disposals of shares that are part of a profit-making undertaking or scheme</w:t>
      </w:r>
      <w:r w:rsidR="009F3F8F">
        <w:rPr>
          <w:lang w:val="en-NZ"/>
        </w:rPr>
        <w:t xml:space="preserve"> are taxable under section CB 3</w:t>
      </w:r>
      <w:r>
        <w:rPr>
          <w:lang w:val="en-NZ"/>
        </w:rPr>
        <w:t>.</w:t>
      </w:r>
    </w:p>
    <w:p w:rsidR="003E6474" w:rsidRDefault="004245F7" w:rsidP="0021448C">
      <w:pPr>
        <w:pStyle w:val="Bullets"/>
        <w:tabs>
          <w:tab w:val="clear" w:pos="851"/>
        </w:tabs>
        <w:spacing w:after="140"/>
        <w:ind w:left="567" w:hanging="567"/>
        <w:jc w:val="both"/>
        <w:rPr>
          <w:lang w:val="en-NZ"/>
        </w:rPr>
      </w:pPr>
      <w:r>
        <w:rPr>
          <w:lang w:val="en-NZ"/>
        </w:rPr>
        <w:t>C</w:t>
      </w:r>
      <w:r w:rsidR="006F08A6" w:rsidRPr="003E6474">
        <w:rPr>
          <w:lang w:val="en-NZ"/>
        </w:rPr>
        <w:t xml:space="preserve">ommon </w:t>
      </w:r>
      <w:r w:rsidR="00905068" w:rsidRPr="003E6474">
        <w:rPr>
          <w:lang w:val="en-NZ"/>
        </w:rPr>
        <w:t>occurrences</w:t>
      </w:r>
      <w:r w:rsidR="006F08A6" w:rsidRPr="003E6474">
        <w:rPr>
          <w:lang w:val="en-NZ"/>
        </w:rPr>
        <w:t xml:space="preserve"> such as death, divorce or change of advisor would inadvertently trigger the proposed anti-avoidance rule</w:t>
      </w:r>
      <w:r w:rsidR="00F16E3E">
        <w:rPr>
          <w:lang w:val="en-NZ"/>
        </w:rPr>
        <w:t>.  T</w:t>
      </w:r>
      <w:r w:rsidR="00905068" w:rsidRPr="003E6474">
        <w:rPr>
          <w:lang w:val="en-NZ"/>
        </w:rPr>
        <w:t>he wide definitions used in the rules create a risk of inadverte</w:t>
      </w:r>
      <w:r w:rsidR="009F3F8F">
        <w:rPr>
          <w:lang w:val="en-NZ"/>
        </w:rPr>
        <w:t>nt capture of common situations</w:t>
      </w:r>
      <w:r>
        <w:rPr>
          <w:lang w:val="en-NZ"/>
        </w:rPr>
        <w:t>.</w:t>
      </w:r>
    </w:p>
    <w:p w:rsidR="003E6474" w:rsidRDefault="004245F7" w:rsidP="0021448C">
      <w:pPr>
        <w:pStyle w:val="Bullets"/>
        <w:tabs>
          <w:tab w:val="clear" w:pos="851"/>
        </w:tabs>
        <w:spacing w:after="140"/>
        <w:ind w:left="567" w:hanging="567"/>
        <w:jc w:val="both"/>
        <w:rPr>
          <w:lang w:val="en-NZ"/>
        </w:rPr>
      </w:pPr>
      <w:r>
        <w:rPr>
          <w:lang w:val="en-NZ"/>
        </w:rPr>
        <w:t>I</w:t>
      </w:r>
      <w:r w:rsidR="00174907" w:rsidRPr="003E6474">
        <w:rPr>
          <w:lang w:val="en-NZ"/>
        </w:rPr>
        <w:t>t is unlikely that taxpayers will use companies to acquire residential land as this exposes the taxpayer to other liabilities and is not a commercially viable way of acquiring residential land as well as other securities law obligations that arise</w:t>
      </w:r>
      <w:r w:rsidR="00F16E3E">
        <w:rPr>
          <w:lang w:val="en-NZ"/>
        </w:rPr>
        <w:t>.  T</w:t>
      </w:r>
      <w:r w:rsidR="00174907" w:rsidRPr="003E6474">
        <w:rPr>
          <w:lang w:val="en-NZ"/>
        </w:rPr>
        <w:t>he small number of transactions does not justify the i</w:t>
      </w:r>
      <w:r w:rsidR="009F3F8F">
        <w:rPr>
          <w:lang w:val="en-NZ"/>
        </w:rPr>
        <w:t>ntroduction of a specific rule</w:t>
      </w:r>
      <w:r>
        <w:rPr>
          <w:lang w:val="en-NZ"/>
        </w:rPr>
        <w:t>.</w:t>
      </w:r>
    </w:p>
    <w:p w:rsidR="003E6474" w:rsidRDefault="004245F7" w:rsidP="0021448C">
      <w:pPr>
        <w:pStyle w:val="Bullets"/>
        <w:tabs>
          <w:tab w:val="clear" w:pos="851"/>
        </w:tabs>
        <w:spacing w:after="140"/>
        <w:ind w:left="567" w:hanging="567"/>
        <w:jc w:val="both"/>
        <w:rPr>
          <w:lang w:val="en-NZ"/>
        </w:rPr>
      </w:pPr>
      <w:r>
        <w:rPr>
          <w:lang w:val="en-NZ"/>
        </w:rPr>
        <w:t>T</w:t>
      </w:r>
      <w:r w:rsidR="00295DC2" w:rsidRPr="003E6474">
        <w:rPr>
          <w:lang w:val="en-NZ"/>
        </w:rPr>
        <w:t>here is no principle to distinguish between good and bad shar</w:t>
      </w:r>
      <w:r w:rsidR="009F3F8F">
        <w:rPr>
          <w:lang w:val="en-NZ"/>
        </w:rPr>
        <w:t>e sales under the proposed test</w:t>
      </w:r>
      <w:r>
        <w:rPr>
          <w:lang w:val="en-NZ"/>
        </w:rPr>
        <w:t>.</w:t>
      </w:r>
    </w:p>
    <w:p w:rsidR="003E6474" w:rsidRDefault="004245F7" w:rsidP="0021448C">
      <w:pPr>
        <w:pStyle w:val="Bullets"/>
        <w:tabs>
          <w:tab w:val="clear" w:pos="851"/>
        </w:tabs>
        <w:spacing w:after="140"/>
        <w:ind w:left="567" w:hanging="567"/>
        <w:jc w:val="both"/>
        <w:rPr>
          <w:lang w:val="en-NZ"/>
        </w:rPr>
      </w:pPr>
      <w:r>
        <w:rPr>
          <w:lang w:val="en-NZ"/>
        </w:rPr>
        <w:t>I</w:t>
      </w:r>
      <w:r w:rsidR="00295DC2" w:rsidRPr="003E6474">
        <w:rPr>
          <w:lang w:val="en-NZ"/>
        </w:rPr>
        <w:t>f you want to tax the sale of land-rich shares this should be set out in clear terms that apply to all taxpayers</w:t>
      </w:r>
      <w:r w:rsidR="00F16E3E">
        <w:rPr>
          <w:lang w:val="en-NZ"/>
        </w:rPr>
        <w:t>.  T</w:t>
      </w:r>
      <w:r w:rsidR="00295DC2" w:rsidRPr="003E6474">
        <w:rPr>
          <w:lang w:val="en-NZ"/>
        </w:rPr>
        <w:t>he proposed anti-avoidance rule will only apply when Inland Reve</w:t>
      </w:r>
      <w:r w:rsidR="009F3F8F">
        <w:rPr>
          <w:lang w:val="en-NZ"/>
        </w:rPr>
        <w:t>nue chooses to invoke the rule</w:t>
      </w:r>
      <w:r>
        <w:rPr>
          <w:lang w:val="en-NZ"/>
        </w:rPr>
        <w:t>.</w:t>
      </w:r>
    </w:p>
    <w:p w:rsidR="003E6474" w:rsidRPr="003E6474" w:rsidRDefault="004245F7" w:rsidP="0021448C">
      <w:pPr>
        <w:pStyle w:val="Bullets"/>
        <w:tabs>
          <w:tab w:val="clear" w:pos="851"/>
        </w:tabs>
        <w:spacing w:after="140"/>
        <w:ind w:left="567" w:hanging="567"/>
        <w:jc w:val="both"/>
        <w:rPr>
          <w:lang w:val="en-NZ"/>
        </w:rPr>
      </w:pPr>
      <w:r>
        <w:rPr>
          <w:lang w:val="en-NZ"/>
        </w:rPr>
        <w:t>T</w:t>
      </w:r>
      <w:r w:rsidR="003E6474">
        <w:rPr>
          <w:lang w:val="en-NZ"/>
        </w:rPr>
        <w:t>he international tax issues with taxing land-rich companies have not been properly cons</w:t>
      </w:r>
      <w:r w:rsidR="009F3F8F">
        <w:rPr>
          <w:lang w:val="en-NZ"/>
        </w:rPr>
        <w:t>idered</w:t>
      </w:r>
      <w:r>
        <w:rPr>
          <w:lang w:val="en-NZ"/>
        </w:rPr>
        <w:t>.</w:t>
      </w:r>
    </w:p>
    <w:p w:rsidR="00DF13F0" w:rsidRPr="003E6474" w:rsidRDefault="004245F7" w:rsidP="0021448C">
      <w:pPr>
        <w:pStyle w:val="Bullets"/>
        <w:tabs>
          <w:tab w:val="clear" w:pos="851"/>
        </w:tabs>
        <w:ind w:left="567" w:hanging="567"/>
        <w:jc w:val="both"/>
        <w:rPr>
          <w:lang w:val="en-NZ"/>
        </w:rPr>
      </w:pPr>
      <w:r>
        <w:rPr>
          <w:lang w:val="en-NZ"/>
        </w:rPr>
        <w:t>A</w:t>
      </w:r>
      <w:r w:rsidR="00DF13F0" w:rsidRPr="003E6474">
        <w:rPr>
          <w:lang w:val="en-NZ"/>
        </w:rPr>
        <w:t xml:space="preserve"> “wait and</w:t>
      </w:r>
      <w:r w:rsidR="009F3F8F">
        <w:rPr>
          <w:lang w:val="en-NZ"/>
        </w:rPr>
        <w:t xml:space="preserve"> see” approach should instead be adopted.</w:t>
      </w:r>
    </w:p>
    <w:p w:rsidR="00D95FF8" w:rsidRPr="00DB4CC5" w:rsidRDefault="00D95FF8" w:rsidP="00D95FF8">
      <w:pPr>
        <w:rPr>
          <w:lang w:val="en-NZ"/>
        </w:rPr>
      </w:pPr>
    </w:p>
    <w:p w:rsidR="00D95FF8" w:rsidRPr="00DB4CC5" w:rsidRDefault="00D95FF8" w:rsidP="00D95FF8">
      <w:pPr>
        <w:pStyle w:val="Heading2"/>
        <w:rPr>
          <w:lang w:val="en-NZ"/>
        </w:rPr>
      </w:pPr>
      <w:r w:rsidRPr="00DB4CC5">
        <w:rPr>
          <w:lang w:val="en-NZ"/>
        </w:rPr>
        <w:t>Comment</w:t>
      </w:r>
    </w:p>
    <w:p w:rsidR="00D95FF8" w:rsidRPr="00DB4CC5" w:rsidRDefault="00D95FF8" w:rsidP="00D95FF8">
      <w:pPr>
        <w:rPr>
          <w:lang w:val="en-NZ"/>
        </w:rPr>
      </w:pPr>
    </w:p>
    <w:p w:rsidR="00BF6F19" w:rsidRDefault="00593D02" w:rsidP="00BF6F19">
      <w:pPr>
        <w:rPr>
          <w:lang w:val="en-NZ"/>
        </w:rPr>
      </w:pPr>
      <w:r>
        <w:rPr>
          <w:lang w:val="en-NZ"/>
        </w:rPr>
        <w:t>It is</w:t>
      </w:r>
      <w:r w:rsidR="00BF6F19">
        <w:rPr>
          <w:lang w:val="en-NZ"/>
        </w:rPr>
        <w:t xml:space="preserve"> important that people cannot easily avoid the bright-line test through the use of companies and trusts</w:t>
      </w:r>
      <w:r w:rsidR="00F16E3E">
        <w:rPr>
          <w:lang w:val="en-NZ"/>
        </w:rPr>
        <w:t>.  T</w:t>
      </w:r>
      <w:r w:rsidR="00BF6F19">
        <w:rPr>
          <w:lang w:val="en-NZ"/>
        </w:rPr>
        <w:t>he use of a specific anti-avoidance rule is intended to supplement the general anti-avoidance rule by showing that Parliament clearly intends that avoidance rules are to apply to the use of land-rich companies and trusts to avoid the bright-line test.</w:t>
      </w:r>
    </w:p>
    <w:p w:rsidR="00D95FF8" w:rsidRPr="00DB4CC5" w:rsidRDefault="00D95FF8" w:rsidP="00D95FF8">
      <w:pPr>
        <w:rPr>
          <w:lang w:val="en-NZ"/>
        </w:rPr>
      </w:pPr>
    </w:p>
    <w:p w:rsidR="00D95FF8" w:rsidRPr="00DB4CC5" w:rsidRDefault="00D95FF8" w:rsidP="00D95FF8">
      <w:pPr>
        <w:pStyle w:val="Heading2"/>
        <w:rPr>
          <w:lang w:val="en-NZ"/>
        </w:rPr>
      </w:pPr>
      <w:r w:rsidRPr="00DB4CC5">
        <w:rPr>
          <w:lang w:val="en-NZ"/>
        </w:rPr>
        <w:t>Recommendation</w:t>
      </w:r>
    </w:p>
    <w:p w:rsidR="00D95FF8" w:rsidRPr="00DB4CC5" w:rsidRDefault="00D95FF8" w:rsidP="00D95FF8">
      <w:pPr>
        <w:rPr>
          <w:lang w:val="en-NZ"/>
        </w:rPr>
      </w:pPr>
    </w:p>
    <w:p w:rsidR="00BF6F19" w:rsidRPr="00DB4CC5" w:rsidRDefault="00BF6F19" w:rsidP="00BF6F19">
      <w:pPr>
        <w:rPr>
          <w:lang w:val="en-NZ"/>
        </w:rPr>
      </w:pPr>
      <w:r w:rsidRPr="00DB4CC5">
        <w:rPr>
          <w:lang w:val="en-NZ"/>
        </w:rPr>
        <w:t xml:space="preserve">That the submission be </w:t>
      </w:r>
      <w:r w:rsidR="005A4DB7">
        <w:rPr>
          <w:lang w:val="en-NZ"/>
        </w:rPr>
        <w:t>declined.</w:t>
      </w:r>
    </w:p>
    <w:p w:rsidR="004E6E00" w:rsidRPr="00DB4CC5" w:rsidRDefault="004E6E00" w:rsidP="004E6E00">
      <w:pPr>
        <w:pBdr>
          <w:bottom w:val="single" w:sz="4" w:space="1" w:color="auto"/>
        </w:pBdr>
        <w:rPr>
          <w:lang w:val="en-NZ"/>
        </w:rPr>
      </w:pPr>
    </w:p>
    <w:p w:rsidR="004E6E00" w:rsidRDefault="004E6E00" w:rsidP="004E6E00">
      <w:pPr>
        <w:rPr>
          <w:lang w:val="en-NZ"/>
        </w:rPr>
      </w:pPr>
    </w:p>
    <w:p w:rsidR="0021448C" w:rsidRPr="00DB4CC5" w:rsidRDefault="0021448C" w:rsidP="004E6E00">
      <w:pPr>
        <w:rPr>
          <w:lang w:val="en-NZ"/>
        </w:rPr>
      </w:pPr>
    </w:p>
    <w:p w:rsidR="004E6E00" w:rsidRPr="00DB4CC5" w:rsidRDefault="004E6E00" w:rsidP="004E6E00">
      <w:pPr>
        <w:pStyle w:val="Heading5"/>
        <w:ind w:left="794" w:hanging="794"/>
        <w:rPr>
          <w:lang w:val="en-NZ"/>
        </w:rPr>
      </w:pPr>
      <w:bookmarkStart w:id="85" w:name="_Toc432411973"/>
      <w:r w:rsidRPr="00DB4CC5">
        <w:rPr>
          <w:lang w:val="en-NZ"/>
        </w:rPr>
        <w:t>Issue:</w:t>
      </w:r>
      <w:r w:rsidRPr="00DB4CC5">
        <w:rPr>
          <w:lang w:val="en-NZ"/>
        </w:rPr>
        <w:tab/>
      </w:r>
      <w:r>
        <w:rPr>
          <w:lang w:val="en-NZ"/>
        </w:rPr>
        <w:t>Exempting rental property</w:t>
      </w:r>
      <w:bookmarkEnd w:id="85"/>
    </w:p>
    <w:p w:rsidR="004E6E00" w:rsidRPr="00DB4CC5" w:rsidRDefault="004E6E00" w:rsidP="004E6E00">
      <w:pPr>
        <w:rPr>
          <w:lang w:val="en-NZ"/>
        </w:rPr>
      </w:pPr>
    </w:p>
    <w:p w:rsidR="004E6E00" w:rsidRPr="00DB4CC5" w:rsidRDefault="004E6E00" w:rsidP="004E6E00">
      <w:pPr>
        <w:rPr>
          <w:lang w:val="en-NZ"/>
        </w:rPr>
      </w:pPr>
    </w:p>
    <w:p w:rsidR="004E6E00" w:rsidRPr="00DB4CC5" w:rsidRDefault="004E6E00" w:rsidP="004E6E00">
      <w:pPr>
        <w:pStyle w:val="Heading2"/>
        <w:rPr>
          <w:lang w:val="en-NZ"/>
        </w:rPr>
      </w:pPr>
      <w:r w:rsidRPr="00DB4CC5">
        <w:rPr>
          <w:lang w:val="en-NZ"/>
        </w:rPr>
        <w:t>Submission</w:t>
      </w:r>
    </w:p>
    <w:p w:rsidR="004E6E00" w:rsidRPr="00DB4CC5" w:rsidRDefault="004E6E00" w:rsidP="004E6E00">
      <w:pPr>
        <w:pStyle w:val="Heading4"/>
        <w:rPr>
          <w:lang w:val="en-NZ"/>
        </w:rPr>
      </w:pPr>
      <w:r w:rsidRPr="00DB4CC5">
        <w:rPr>
          <w:lang w:val="en-NZ"/>
        </w:rPr>
        <w:t>(</w:t>
      </w:r>
      <w:r>
        <w:rPr>
          <w:lang w:val="en-NZ"/>
        </w:rPr>
        <w:t xml:space="preserve">New Zealand Property Investors’ Federation </w:t>
      </w:r>
      <w:proofErr w:type="spellStart"/>
      <w:r>
        <w:rPr>
          <w:lang w:val="en-NZ"/>
        </w:rPr>
        <w:t>Inc</w:t>
      </w:r>
      <w:proofErr w:type="spellEnd"/>
      <w:r w:rsidRPr="00DB4CC5">
        <w:rPr>
          <w:lang w:val="en-NZ"/>
        </w:rPr>
        <w:t>)</w:t>
      </w:r>
    </w:p>
    <w:p w:rsidR="004E6E00" w:rsidRPr="00DB4CC5" w:rsidRDefault="004E6E00" w:rsidP="004E6E00">
      <w:pPr>
        <w:tabs>
          <w:tab w:val="left" w:pos="5295"/>
        </w:tabs>
        <w:rPr>
          <w:lang w:val="en-NZ"/>
        </w:rPr>
      </w:pPr>
    </w:p>
    <w:p w:rsidR="004E6E00" w:rsidRPr="00DB4CC5" w:rsidRDefault="004E6E00" w:rsidP="004E6E00">
      <w:pPr>
        <w:rPr>
          <w:lang w:val="en-NZ"/>
        </w:rPr>
      </w:pPr>
      <w:r>
        <w:rPr>
          <w:lang w:val="en-NZ"/>
        </w:rPr>
        <w:t>Consideration should be given to exempting property that is to be used to provide tenants with long</w:t>
      </w:r>
      <w:r w:rsidR="000D51A6">
        <w:rPr>
          <w:lang w:val="en-NZ"/>
        </w:rPr>
        <w:t>-</w:t>
      </w:r>
      <w:r>
        <w:rPr>
          <w:lang w:val="en-NZ"/>
        </w:rPr>
        <w:t>term rental accommodation from the proposed anti-avoidance rules</w:t>
      </w:r>
      <w:r w:rsidR="00CC5D8E">
        <w:rPr>
          <w:lang w:val="en-NZ"/>
        </w:rPr>
        <w:t>.</w:t>
      </w:r>
      <w:r>
        <w:rPr>
          <w:lang w:val="en-NZ"/>
        </w:rPr>
        <w:t xml:space="preserve"> </w:t>
      </w:r>
      <w:r w:rsidRPr="009B557D">
        <w:rPr>
          <w:i/>
          <w:lang w:val="en-NZ"/>
        </w:rPr>
        <w:t xml:space="preserve">(New Zealand Property Investors’ Federation </w:t>
      </w:r>
      <w:proofErr w:type="spellStart"/>
      <w:r w:rsidRPr="009B557D">
        <w:rPr>
          <w:i/>
          <w:lang w:val="en-NZ"/>
        </w:rPr>
        <w:t>Inc</w:t>
      </w:r>
      <w:proofErr w:type="spellEnd"/>
      <w:r w:rsidRPr="009B557D">
        <w:rPr>
          <w:i/>
          <w:lang w:val="en-NZ"/>
        </w:rPr>
        <w:t>)</w:t>
      </w:r>
    </w:p>
    <w:p w:rsidR="004E6E00" w:rsidRPr="00DB4CC5" w:rsidRDefault="004E6E00" w:rsidP="004E6E00">
      <w:pPr>
        <w:rPr>
          <w:lang w:val="en-NZ"/>
        </w:rPr>
      </w:pPr>
    </w:p>
    <w:p w:rsidR="004E6E00" w:rsidRPr="00DB4CC5" w:rsidRDefault="004E6E00" w:rsidP="004E6E00">
      <w:pPr>
        <w:pStyle w:val="Heading2"/>
        <w:rPr>
          <w:lang w:val="en-NZ"/>
        </w:rPr>
      </w:pPr>
      <w:r w:rsidRPr="00DB4CC5">
        <w:rPr>
          <w:lang w:val="en-NZ"/>
        </w:rPr>
        <w:t>Comment</w:t>
      </w:r>
    </w:p>
    <w:p w:rsidR="004E5231" w:rsidRDefault="004E5231" w:rsidP="004E6E00">
      <w:pPr>
        <w:rPr>
          <w:lang w:val="en-NZ"/>
        </w:rPr>
      </w:pPr>
    </w:p>
    <w:p w:rsidR="004E5231" w:rsidRPr="00DB4CC5" w:rsidRDefault="005840A1" w:rsidP="004E6E00">
      <w:pPr>
        <w:rPr>
          <w:lang w:val="en-NZ"/>
        </w:rPr>
      </w:pPr>
      <w:r>
        <w:rPr>
          <w:lang w:val="en-NZ"/>
        </w:rPr>
        <w:t>The bright-line test applies to residential property that is bought and sold within two years whether or not it is used for rental purposes</w:t>
      </w:r>
      <w:r w:rsidR="00F16E3E">
        <w:rPr>
          <w:lang w:val="en-NZ"/>
        </w:rPr>
        <w:t>.  A</w:t>
      </w:r>
      <w:r>
        <w:rPr>
          <w:lang w:val="en-NZ"/>
        </w:rPr>
        <w:t>s a result</w:t>
      </w:r>
      <w:r w:rsidR="009A654B">
        <w:rPr>
          <w:lang w:val="en-NZ"/>
        </w:rPr>
        <w:t>,</w:t>
      </w:r>
      <w:r>
        <w:rPr>
          <w:lang w:val="en-NZ"/>
        </w:rPr>
        <w:t xml:space="preserve"> th</w:t>
      </w:r>
      <w:r w:rsidR="004E5231">
        <w:rPr>
          <w:lang w:val="en-NZ"/>
        </w:rPr>
        <w:t xml:space="preserve">e anti-avoidance rule </w:t>
      </w:r>
      <w:r>
        <w:rPr>
          <w:lang w:val="en-NZ"/>
        </w:rPr>
        <w:t>should</w:t>
      </w:r>
      <w:r w:rsidR="00753A19">
        <w:rPr>
          <w:lang w:val="en-NZ"/>
        </w:rPr>
        <w:t xml:space="preserve"> also</w:t>
      </w:r>
      <w:r w:rsidR="004E5231">
        <w:rPr>
          <w:lang w:val="en-NZ"/>
        </w:rPr>
        <w:t xml:space="preserve"> apply </w:t>
      </w:r>
      <w:r w:rsidR="009A654B">
        <w:rPr>
          <w:lang w:val="en-NZ"/>
        </w:rPr>
        <w:t>irrespective of whether</w:t>
      </w:r>
      <w:r w:rsidR="004E5231">
        <w:rPr>
          <w:lang w:val="en-NZ"/>
        </w:rPr>
        <w:t xml:space="preserve"> the property is intended to be used for rental purposes.</w:t>
      </w:r>
    </w:p>
    <w:p w:rsidR="004E6E00" w:rsidRPr="00DB4CC5" w:rsidRDefault="004E6E00" w:rsidP="004E6E00">
      <w:pPr>
        <w:rPr>
          <w:lang w:val="en-NZ"/>
        </w:rPr>
      </w:pPr>
    </w:p>
    <w:p w:rsidR="004E6E00" w:rsidRPr="00DB4CC5" w:rsidRDefault="004E6E00" w:rsidP="004E6E00">
      <w:pPr>
        <w:pStyle w:val="Heading2"/>
        <w:rPr>
          <w:lang w:val="en-NZ"/>
        </w:rPr>
      </w:pPr>
      <w:r w:rsidRPr="00DB4CC5">
        <w:rPr>
          <w:lang w:val="en-NZ"/>
        </w:rPr>
        <w:t>Recommendation</w:t>
      </w:r>
    </w:p>
    <w:p w:rsidR="004E6E00" w:rsidRPr="00DB4CC5" w:rsidRDefault="004E6E00" w:rsidP="004E6E00">
      <w:pPr>
        <w:rPr>
          <w:lang w:val="en-NZ"/>
        </w:rPr>
      </w:pPr>
    </w:p>
    <w:p w:rsidR="004E6E00" w:rsidRDefault="004E6E00" w:rsidP="004E6E00">
      <w:pPr>
        <w:jc w:val="left"/>
        <w:rPr>
          <w:lang w:val="en-NZ"/>
        </w:rPr>
      </w:pPr>
      <w:r w:rsidRPr="00DB4CC5">
        <w:rPr>
          <w:lang w:val="en-NZ"/>
        </w:rPr>
        <w:t xml:space="preserve">That the submission be </w:t>
      </w:r>
      <w:r>
        <w:rPr>
          <w:lang w:val="en-NZ"/>
        </w:rPr>
        <w:t>declined.</w:t>
      </w:r>
    </w:p>
    <w:p w:rsidR="004E6E00" w:rsidRPr="00DB4CC5" w:rsidRDefault="004E6E00" w:rsidP="004E6E00">
      <w:pPr>
        <w:pBdr>
          <w:bottom w:val="single" w:sz="4" w:space="1" w:color="auto"/>
        </w:pBdr>
        <w:rPr>
          <w:lang w:val="en-NZ"/>
        </w:rPr>
      </w:pPr>
    </w:p>
    <w:p w:rsidR="004E6E00" w:rsidRDefault="004E6E00" w:rsidP="004E6E00">
      <w:pPr>
        <w:rPr>
          <w:lang w:val="en-NZ"/>
        </w:rPr>
      </w:pPr>
    </w:p>
    <w:p w:rsidR="0021448C" w:rsidRPr="00DB4CC5" w:rsidRDefault="0021448C" w:rsidP="004E6E00">
      <w:pPr>
        <w:rPr>
          <w:lang w:val="en-NZ"/>
        </w:rPr>
      </w:pPr>
    </w:p>
    <w:p w:rsidR="004E6E00" w:rsidRPr="00DB4CC5" w:rsidRDefault="004E6E00" w:rsidP="004E6E00">
      <w:pPr>
        <w:pStyle w:val="Heading5"/>
        <w:ind w:left="794" w:hanging="794"/>
        <w:rPr>
          <w:lang w:val="en-NZ"/>
        </w:rPr>
      </w:pPr>
      <w:bookmarkStart w:id="86" w:name="_Toc432411974"/>
      <w:r w:rsidRPr="00DB4CC5">
        <w:rPr>
          <w:lang w:val="en-NZ"/>
        </w:rPr>
        <w:t>Issue:</w:t>
      </w:r>
      <w:r w:rsidRPr="00DB4CC5">
        <w:rPr>
          <w:lang w:val="en-NZ"/>
        </w:rPr>
        <w:tab/>
      </w:r>
      <w:r>
        <w:rPr>
          <w:lang w:val="en-NZ"/>
        </w:rPr>
        <w:t>Making rules as simple as possible</w:t>
      </w:r>
      <w:bookmarkEnd w:id="86"/>
    </w:p>
    <w:p w:rsidR="004E6E00" w:rsidRPr="00DB4CC5" w:rsidRDefault="004E6E00" w:rsidP="004E6E00">
      <w:pPr>
        <w:rPr>
          <w:lang w:val="en-NZ"/>
        </w:rPr>
      </w:pPr>
    </w:p>
    <w:p w:rsidR="004E6E00" w:rsidRPr="00DB4CC5" w:rsidRDefault="004E6E00" w:rsidP="004E6E00">
      <w:pPr>
        <w:rPr>
          <w:lang w:val="en-NZ"/>
        </w:rPr>
      </w:pPr>
    </w:p>
    <w:p w:rsidR="004E6E00" w:rsidRPr="00DB4CC5" w:rsidRDefault="004E6E00" w:rsidP="004E6E00">
      <w:pPr>
        <w:pStyle w:val="Heading2"/>
        <w:rPr>
          <w:lang w:val="en-NZ"/>
        </w:rPr>
      </w:pPr>
      <w:r w:rsidRPr="00DB4CC5">
        <w:rPr>
          <w:lang w:val="en-NZ"/>
        </w:rPr>
        <w:t>Submission</w:t>
      </w:r>
    </w:p>
    <w:p w:rsidR="004E6E00" w:rsidRPr="00DB4CC5" w:rsidRDefault="004E6E00" w:rsidP="004E6E00">
      <w:pPr>
        <w:pStyle w:val="Heading4"/>
        <w:rPr>
          <w:lang w:val="en-NZ"/>
        </w:rPr>
      </w:pPr>
      <w:r w:rsidRPr="00DB4CC5">
        <w:rPr>
          <w:lang w:val="en-NZ"/>
        </w:rPr>
        <w:t>(</w:t>
      </w:r>
      <w:r>
        <w:rPr>
          <w:lang w:val="en-NZ"/>
        </w:rPr>
        <w:t xml:space="preserve">New Zealand Property Investors’ Federation </w:t>
      </w:r>
      <w:proofErr w:type="spellStart"/>
      <w:r>
        <w:rPr>
          <w:lang w:val="en-NZ"/>
        </w:rPr>
        <w:t>Inc</w:t>
      </w:r>
      <w:proofErr w:type="spellEnd"/>
      <w:r w:rsidRPr="00DB4CC5">
        <w:rPr>
          <w:lang w:val="en-NZ"/>
        </w:rPr>
        <w:t>)</w:t>
      </w:r>
    </w:p>
    <w:p w:rsidR="004E6E00" w:rsidRPr="00DB4CC5" w:rsidRDefault="004E6E00" w:rsidP="004E6E00">
      <w:pPr>
        <w:tabs>
          <w:tab w:val="left" w:pos="5295"/>
        </w:tabs>
        <w:rPr>
          <w:lang w:val="en-NZ"/>
        </w:rPr>
      </w:pPr>
    </w:p>
    <w:p w:rsidR="004E6E00" w:rsidRDefault="004E6E00" w:rsidP="004E6E00">
      <w:pPr>
        <w:rPr>
          <w:lang w:val="en-NZ"/>
        </w:rPr>
      </w:pPr>
      <w:r>
        <w:rPr>
          <w:lang w:val="en-NZ"/>
        </w:rPr>
        <w:t xml:space="preserve">The rules should be the simplest required </w:t>
      </w:r>
      <w:proofErr w:type="gramStart"/>
      <w:r>
        <w:rPr>
          <w:lang w:val="en-NZ"/>
        </w:rPr>
        <w:t>to eliminate</w:t>
      </w:r>
      <w:proofErr w:type="gramEnd"/>
      <w:r>
        <w:rPr>
          <w:lang w:val="en-NZ"/>
        </w:rPr>
        <w:t xml:space="preserve"> the use of companies and trusts to circumvent the bright-line </w:t>
      </w:r>
      <w:r w:rsidR="008C549B">
        <w:rPr>
          <w:lang w:val="en-NZ"/>
        </w:rPr>
        <w:t>test.</w:t>
      </w:r>
    </w:p>
    <w:p w:rsidR="004E6E00" w:rsidRPr="00DB4CC5" w:rsidRDefault="004E6E00" w:rsidP="004E6E00">
      <w:pPr>
        <w:rPr>
          <w:lang w:val="en-NZ"/>
        </w:rPr>
      </w:pPr>
    </w:p>
    <w:p w:rsidR="004E6E00" w:rsidRPr="00DB4CC5" w:rsidRDefault="004E6E00" w:rsidP="004E6E00">
      <w:pPr>
        <w:pStyle w:val="Heading2"/>
        <w:rPr>
          <w:lang w:val="en-NZ"/>
        </w:rPr>
      </w:pPr>
      <w:r w:rsidRPr="00DB4CC5">
        <w:rPr>
          <w:lang w:val="en-NZ"/>
        </w:rPr>
        <w:t>Comment</w:t>
      </w:r>
    </w:p>
    <w:p w:rsidR="004E6E00" w:rsidRDefault="004E6E00" w:rsidP="004E6E00">
      <w:pPr>
        <w:rPr>
          <w:lang w:val="en-NZ"/>
        </w:rPr>
      </w:pPr>
    </w:p>
    <w:p w:rsidR="004E6E00" w:rsidRDefault="004E6E00" w:rsidP="004E6E00">
      <w:pPr>
        <w:rPr>
          <w:lang w:val="en-NZ"/>
        </w:rPr>
      </w:pPr>
      <w:r>
        <w:rPr>
          <w:lang w:val="en-NZ"/>
        </w:rPr>
        <w:t xml:space="preserve">Officials </w:t>
      </w:r>
      <w:r w:rsidR="009A654B">
        <w:rPr>
          <w:lang w:val="en-NZ"/>
        </w:rPr>
        <w:t xml:space="preserve">consider </w:t>
      </w:r>
      <w:r>
        <w:rPr>
          <w:lang w:val="en-NZ"/>
        </w:rPr>
        <w:t>that the proposed anti-avoidance</w:t>
      </w:r>
      <w:r w:rsidR="009A654B">
        <w:rPr>
          <w:lang w:val="en-NZ"/>
        </w:rPr>
        <w:t xml:space="preserve"> rule</w:t>
      </w:r>
      <w:r>
        <w:rPr>
          <w:lang w:val="en-NZ"/>
        </w:rPr>
        <w:t xml:space="preserve"> is the simplest means of addressing </w:t>
      </w:r>
      <w:r w:rsidR="00A83DEA">
        <w:rPr>
          <w:lang w:val="en-NZ"/>
        </w:rPr>
        <w:t xml:space="preserve">the </w:t>
      </w:r>
      <w:r w:rsidR="00A14EAC">
        <w:rPr>
          <w:lang w:val="en-NZ"/>
        </w:rPr>
        <w:t>issue of land-rich companies and trusts</w:t>
      </w:r>
      <w:r w:rsidR="00A83DEA">
        <w:rPr>
          <w:lang w:val="en-NZ"/>
        </w:rPr>
        <w:t xml:space="preserve"> while providing an effective</w:t>
      </w:r>
      <w:r w:rsidR="00A14EAC">
        <w:rPr>
          <w:lang w:val="en-NZ"/>
        </w:rPr>
        <w:t xml:space="preserve"> counter to the avoidance risks.</w:t>
      </w:r>
    </w:p>
    <w:p w:rsidR="004E6E00" w:rsidRPr="00DB4CC5" w:rsidRDefault="004E6E00" w:rsidP="004E6E00">
      <w:pPr>
        <w:rPr>
          <w:lang w:val="en-NZ"/>
        </w:rPr>
      </w:pPr>
    </w:p>
    <w:p w:rsidR="004E6E00" w:rsidRPr="00DB4CC5" w:rsidRDefault="004E6E00" w:rsidP="004E6E00">
      <w:pPr>
        <w:pStyle w:val="Heading2"/>
        <w:rPr>
          <w:lang w:val="en-NZ"/>
        </w:rPr>
      </w:pPr>
      <w:r w:rsidRPr="00DB4CC5">
        <w:rPr>
          <w:lang w:val="en-NZ"/>
        </w:rPr>
        <w:t>Recommendation</w:t>
      </w:r>
    </w:p>
    <w:p w:rsidR="004E6E00" w:rsidRPr="00DB4CC5" w:rsidRDefault="004E6E00" w:rsidP="004E6E00">
      <w:pPr>
        <w:rPr>
          <w:lang w:val="en-NZ"/>
        </w:rPr>
      </w:pPr>
    </w:p>
    <w:p w:rsidR="004E6E00" w:rsidRDefault="004E6E00" w:rsidP="004E6E00">
      <w:pPr>
        <w:rPr>
          <w:lang w:val="en-NZ"/>
        </w:rPr>
      </w:pPr>
      <w:r w:rsidRPr="00DB4CC5">
        <w:rPr>
          <w:lang w:val="en-NZ"/>
        </w:rPr>
        <w:t xml:space="preserve">That the submission be </w:t>
      </w:r>
      <w:r>
        <w:rPr>
          <w:lang w:val="en-NZ"/>
        </w:rPr>
        <w:t>noted.</w:t>
      </w:r>
    </w:p>
    <w:p w:rsidR="006F08A6" w:rsidRPr="00DB4CC5" w:rsidRDefault="006F08A6" w:rsidP="006F08A6">
      <w:pPr>
        <w:pBdr>
          <w:bottom w:val="single" w:sz="4" w:space="1" w:color="auto"/>
        </w:pBdr>
        <w:rPr>
          <w:lang w:val="en-NZ"/>
        </w:rPr>
      </w:pPr>
    </w:p>
    <w:p w:rsidR="006F08A6" w:rsidRDefault="006F08A6" w:rsidP="006F08A6">
      <w:pPr>
        <w:rPr>
          <w:lang w:val="en-NZ"/>
        </w:rPr>
      </w:pPr>
    </w:p>
    <w:p w:rsidR="0021448C" w:rsidRPr="00DB4CC5" w:rsidRDefault="0021448C" w:rsidP="006F08A6">
      <w:pPr>
        <w:rPr>
          <w:lang w:val="en-NZ"/>
        </w:rPr>
      </w:pPr>
    </w:p>
    <w:p w:rsidR="006F08A6" w:rsidRPr="00DB4CC5" w:rsidRDefault="006F08A6" w:rsidP="006F08A6">
      <w:pPr>
        <w:pStyle w:val="Heading5"/>
        <w:ind w:left="794" w:hanging="794"/>
        <w:rPr>
          <w:lang w:val="en-NZ"/>
        </w:rPr>
      </w:pPr>
      <w:bookmarkStart w:id="87" w:name="_Toc432411975"/>
      <w:r w:rsidRPr="00DB4CC5">
        <w:rPr>
          <w:lang w:val="en-NZ"/>
        </w:rPr>
        <w:t>Issue:</w:t>
      </w:r>
      <w:r w:rsidRPr="00DB4CC5">
        <w:rPr>
          <w:lang w:val="en-NZ"/>
        </w:rPr>
        <w:tab/>
      </w:r>
      <w:r w:rsidR="005A5137">
        <w:rPr>
          <w:lang w:val="en-NZ"/>
        </w:rPr>
        <w:t>Ownership of multiple properties</w:t>
      </w:r>
      <w:bookmarkEnd w:id="87"/>
    </w:p>
    <w:p w:rsidR="006F08A6" w:rsidRPr="00DB4CC5" w:rsidRDefault="006F08A6" w:rsidP="006F08A6">
      <w:pPr>
        <w:rPr>
          <w:lang w:val="en-NZ"/>
        </w:rPr>
      </w:pPr>
    </w:p>
    <w:p w:rsidR="006F08A6" w:rsidRPr="00DB4CC5" w:rsidRDefault="006F08A6" w:rsidP="006F08A6">
      <w:pPr>
        <w:rPr>
          <w:lang w:val="en-NZ"/>
        </w:rPr>
      </w:pPr>
    </w:p>
    <w:p w:rsidR="006F08A6" w:rsidRPr="00DB4CC5" w:rsidRDefault="006F08A6" w:rsidP="006F08A6">
      <w:pPr>
        <w:pStyle w:val="Heading2"/>
        <w:rPr>
          <w:lang w:val="en-NZ"/>
        </w:rPr>
      </w:pPr>
      <w:r w:rsidRPr="00DB4CC5">
        <w:rPr>
          <w:lang w:val="en-NZ"/>
        </w:rPr>
        <w:t>Submission</w:t>
      </w:r>
    </w:p>
    <w:p w:rsidR="006F08A6" w:rsidRPr="00DB4CC5" w:rsidRDefault="006F08A6" w:rsidP="006F08A6">
      <w:pPr>
        <w:pStyle w:val="Heading4"/>
        <w:rPr>
          <w:lang w:val="en-NZ"/>
        </w:rPr>
      </w:pPr>
      <w:r>
        <w:rPr>
          <w:lang w:val="en-NZ"/>
        </w:rPr>
        <w:t>(Chartered Accountants Australia and New Zealand)</w:t>
      </w:r>
    </w:p>
    <w:p w:rsidR="006F08A6" w:rsidRPr="00DB4CC5" w:rsidRDefault="006F08A6" w:rsidP="006F08A6">
      <w:pPr>
        <w:tabs>
          <w:tab w:val="left" w:pos="5295"/>
        </w:tabs>
        <w:rPr>
          <w:lang w:val="en-NZ"/>
        </w:rPr>
      </w:pPr>
    </w:p>
    <w:p w:rsidR="006F08A6" w:rsidRPr="00DB4CC5" w:rsidRDefault="006F08A6" w:rsidP="006F08A6">
      <w:pPr>
        <w:rPr>
          <w:lang w:val="en-NZ"/>
        </w:rPr>
      </w:pPr>
      <w:r>
        <w:rPr>
          <w:lang w:val="en-NZ"/>
        </w:rPr>
        <w:t>Clarification is needed whe</w:t>
      </w:r>
      <w:r w:rsidR="00D93EE9">
        <w:rPr>
          <w:lang w:val="en-NZ"/>
        </w:rPr>
        <w:t>n</w:t>
      </w:r>
      <w:r>
        <w:rPr>
          <w:lang w:val="en-NZ"/>
        </w:rPr>
        <w:t xml:space="preserve"> a company owns a number of properties and some were purchased during the bright-line period</w:t>
      </w:r>
      <w:r w:rsidR="00F16E3E">
        <w:rPr>
          <w:lang w:val="en-NZ"/>
        </w:rPr>
        <w:t>.  I</w:t>
      </w:r>
      <w:r>
        <w:rPr>
          <w:lang w:val="en-NZ"/>
        </w:rPr>
        <w:t>t is unclear whether the bright-line test will apply when shares of the company are sold.</w:t>
      </w:r>
    </w:p>
    <w:p w:rsidR="006F08A6" w:rsidRPr="00DB4CC5" w:rsidRDefault="006F08A6" w:rsidP="006F08A6">
      <w:pPr>
        <w:rPr>
          <w:lang w:val="en-NZ"/>
        </w:rPr>
      </w:pPr>
    </w:p>
    <w:p w:rsidR="006F08A6" w:rsidRPr="00DB4CC5" w:rsidRDefault="006F08A6" w:rsidP="006F08A6">
      <w:pPr>
        <w:pStyle w:val="Heading2"/>
        <w:rPr>
          <w:lang w:val="en-NZ"/>
        </w:rPr>
      </w:pPr>
      <w:r w:rsidRPr="00DB4CC5">
        <w:rPr>
          <w:lang w:val="en-NZ"/>
        </w:rPr>
        <w:t>Comment</w:t>
      </w:r>
    </w:p>
    <w:p w:rsidR="006F08A6" w:rsidRDefault="006F08A6" w:rsidP="006F08A6">
      <w:pPr>
        <w:rPr>
          <w:lang w:val="en-NZ"/>
        </w:rPr>
      </w:pPr>
    </w:p>
    <w:p w:rsidR="00F72761" w:rsidRPr="00F72761" w:rsidRDefault="00F72761" w:rsidP="00F72761">
      <w:pPr>
        <w:rPr>
          <w:szCs w:val="24"/>
        </w:rPr>
      </w:pPr>
      <w:r w:rsidRPr="00F72761">
        <w:rPr>
          <w:szCs w:val="24"/>
        </w:rPr>
        <w:t>When section GB 52 applies, it is intended that the bright-line test only applies to the properties that have been acquired within two years of the share disposal.</w:t>
      </w:r>
    </w:p>
    <w:p w:rsidR="00F72761" w:rsidRPr="00F72761" w:rsidRDefault="00F72761" w:rsidP="00F72761">
      <w:pPr>
        <w:rPr>
          <w:szCs w:val="24"/>
        </w:rPr>
      </w:pPr>
    </w:p>
    <w:p w:rsidR="00F72761" w:rsidRPr="00F72761" w:rsidRDefault="00F72761" w:rsidP="00F72761">
      <w:pPr>
        <w:rPr>
          <w:szCs w:val="24"/>
        </w:rPr>
      </w:pPr>
      <w:r w:rsidRPr="00F72761">
        <w:rPr>
          <w:szCs w:val="24"/>
        </w:rPr>
        <w:t>We agree that section GB 52 should be amended to reflect this.</w:t>
      </w:r>
    </w:p>
    <w:p w:rsidR="00F04F45" w:rsidRPr="00F72761" w:rsidRDefault="00F04F45" w:rsidP="006F08A6">
      <w:pPr>
        <w:rPr>
          <w:szCs w:val="24"/>
          <w:lang w:val="en-NZ"/>
        </w:rPr>
      </w:pPr>
    </w:p>
    <w:p w:rsidR="006F08A6" w:rsidRPr="00DB4CC5" w:rsidRDefault="006F08A6" w:rsidP="006F08A6">
      <w:pPr>
        <w:pStyle w:val="Heading2"/>
        <w:rPr>
          <w:lang w:val="en-NZ"/>
        </w:rPr>
      </w:pPr>
      <w:r w:rsidRPr="00DB4CC5">
        <w:rPr>
          <w:lang w:val="en-NZ"/>
        </w:rPr>
        <w:t>Recommendation</w:t>
      </w:r>
    </w:p>
    <w:p w:rsidR="006F08A6" w:rsidRPr="00DB4CC5" w:rsidRDefault="006F08A6" w:rsidP="006F08A6">
      <w:pPr>
        <w:rPr>
          <w:lang w:val="en-NZ"/>
        </w:rPr>
      </w:pPr>
    </w:p>
    <w:p w:rsidR="006F08A6" w:rsidRDefault="00F04F45" w:rsidP="004E6E00">
      <w:pPr>
        <w:jc w:val="left"/>
        <w:rPr>
          <w:lang w:val="en-NZ"/>
        </w:rPr>
      </w:pPr>
      <w:r>
        <w:rPr>
          <w:lang w:val="en-NZ"/>
        </w:rPr>
        <w:t xml:space="preserve">That the submission be </w:t>
      </w:r>
      <w:r w:rsidR="00F72761">
        <w:rPr>
          <w:lang w:val="en-NZ"/>
        </w:rPr>
        <w:t>accepted</w:t>
      </w:r>
      <w:r>
        <w:rPr>
          <w:lang w:val="en-NZ"/>
        </w:rPr>
        <w:t>.</w:t>
      </w:r>
    </w:p>
    <w:p w:rsidR="006F08A6" w:rsidRPr="00DB4CC5" w:rsidRDefault="006F08A6" w:rsidP="006F08A6">
      <w:pPr>
        <w:pBdr>
          <w:bottom w:val="single" w:sz="4" w:space="1" w:color="auto"/>
        </w:pBdr>
        <w:rPr>
          <w:lang w:val="en-NZ"/>
        </w:rPr>
      </w:pPr>
    </w:p>
    <w:p w:rsidR="006F08A6" w:rsidRDefault="006F08A6" w:rsidP="006F08A6">
      <w:pPr>
        <w:rPr>
          <w:lang w:val="en-NZ"/>
        </w:rPr>
      </w:pPr>
    </w:p>
    <w:p w:rsidR="0021448C" w:rsidRPr="00DB4CC5" w:rsidRDefault="0021448C" w:rsidP="006F08A6">
      <w:pPr>
        <w:rPr>
          <w:lang w:val="en-NZ"/>
        </w:rPr>
      </w:pPr>
    </w:p>
    <w:p w:rsidR="006F08A6" w:rsidRPr="00DB4CC5" w:rsidRDefault="006F08A6" w:rsidP="006F08A6">
      <w:pPr>
        <w:pStyle w:val="Heading5"/>
        <w:ind w:left="794" w:hanging="794"/>
        <w:rPr>
          <w:lang w:val="en-NZ"/>
        </w:rPr>
      </w:pPr>
      <w:bookmarkStart w:id="88" w:name="_Toc432411976"/>
      <w:r w:rsidRPr="00DB4CC5">
        <w:rPr>
          <w:lang w:val="en-NZ"/>
        </w:rPr>
        <w:t>Issue:</w:t>
      </w:r>
      <w:r w:rsidRPr="00DB4CC5">
        <w:rPr>
          <w:lang w:val="en-NZ"/>
        </w:rPr>
        <w:tab/>
      </w:r>
      <w:r>
        <w:rPr>
          <w:lang w:val="en-NZ"/>
        </w:rPr>
        <w:t>International tax implications</w:t>
      </w:r>
      <w:bookmarkEnd w:id="88"/>
    </w:p>
    <w:p w:rsidR="006F08A6" w:rsidRPr="00DB4CC5" w:rsidRDefault="006F08A6" w:rsidP="006F08A6">
      <w:pPr>
        <w:rPr>
          <w:lang w:val="en-NZ"/>
        </w:rPr>
      </w:pPr>
    </w:p>
    <w:p w:rsidR="006F08A6" w:rsidRPr="00DB4CC5" w:rsidRDefault="006F08A6" w:rsidP="006F08A6">
      <w:pPr>
        <w:rPr>
          <w:lang w:val="en-NZ"/>
        </w:rPr>
      </w:pPr>
    </w:p>
    <w:p w:rsidR="006F08A6" w:rsidRPr="00DB4CC5" w:rsidRDefault="006F08A6" w:rsidP="006F08A6">
      <w:pPr>
        <w:pStyle w:val="Heading2"/>
        <w:rPr>
          <w:lang w:val="en-NZ"/>
        </w:rPr>
      </w:pPr>
      <w:r w:rsidRPr="00DB4CC5">
        <w:rPr>
          <w:lang w:val="en-NZ"/>
        </w:rPr>
        <w:t>Submission</w:t>
      </w:r>
    </w:p>
    <w:p w:rsidR="006F08A6" w:rsidRPr="00DB4CC5" w:rsidRDefault="005A5137" w:rsidP="006F08A6">
      <w:pPr>
        <w:pStyle w:val="Heading4"/>
        <w:rPr>
          <w:lang w:val="en-NZ"/>
        </w:rPr>
      </w:pPr>
      <w:r>
        <w:rPr>
          <w:lang w:val="en-NZ"/>
        </w:rPr>
        <w:t>(Chartered Accountants Australia and New Zealand)</w:t>
      </w:r>
    </w:p>
    <w:p w:rsidR="006F08A6" w:rsidRPr="00DB4CC5" w:rsidRDefault="006F08A6" w:rsidP="006F08A6">
      <w:pPr>
        <w:tabs>
          <w:tab w:val="left" w:pos="5295"/>
        </w:tabs>
        <w:rPr>
          <w:lang w:val="en-NZ"/>
        </w:rPr>
      </w:pPr>
    </w:p>
    <w:p w:rsidR="009F0F23" w:rsidRDefault="009F0F23" w:rsidP="009F0F23">
      <w:r>
        <w:t xml:space="preserve">It is arguable that some of New Zealand’s </w:t>
      </w:r>
      <w:r w:rsidR="00D93EE9">
        <w:t>d</w:t>
      </w:r>
      <w:r>
        <w:t xml:space="preserve">ouble </w:t>
      </w:r>
      <w:r w:rsidR="00D93EE9">
        <w:t>t</w:t>
      </w:r>
      <w:r>
        <w:t xml:space="preserve">ax </w:t>
      </w:r>
      <w:r w:rsidR="00D93EE9">
        <w:t>a</w:t>
      </w:r>
      <w:r>
        <w:t>greements do not allow New Zealand to impose tax on the gains made on the sale of shares.</w:t>
      </w:r>
      <w:r w:rsidR="00F80A3E">
        <w:t xml:space="preserve"> </w:t>
      </w:r>
      <w:r>
        <w:t xml:space="preserve"> For example, shares in a New Zealand company owning residential property held by a German resident.</w:t>
      </w:r>
      <w:r w:rsidR="0021448C">
        <w:t xml:space="preserve"> </w:t>
      </w:r>
      <w:r>
        <w:t xml:space="preserve"> Assuming the sale of the shares gives rise to New Zealand</w:t>
      </w:r>
      <w:r w:rsidR="00D93EE9">
        <w:t>-</w:t>
      </w:r>
      <w:r>
        <w:t>sourced income under the new bright-line provisions, the German resident would apply Article</w:t>
      </w:r>
      <w:r w:rsidR="00D93EE9">
        <w:t xml:space="preserve"> 13(4) of the Germany-</w:t>
      </w:r>
      <w:r>
        <w:t>New Zealand Double T</w:t>
      </w:r>
      <w:r w:rsidR="001E0183">
        <w:t>ax</w:t>
      </w:r>
      <w:r>
        <w:t xml:space="preserve"> Agreement to be taxed only in Germany in respect of the income.</w:t>
      </w:r>
    </w:p>
    <w:p w:rsidR="009F0F23" w:rsidRDefault="009F0F23" w:rsidP="009F0F23"/>
    <w:p w:rsidR="009F0F23" w:rsidRDefault="009F0F23" w:rsidP="009F0F23">
      <w:r>
        <w:t>It appears that the introduction of proposed section GB 52 is intended to override the application of such articles.</w:t>
      </w:r>
      <w:r w:rsidR="0021448C">
        <w:t xml:space="preserve"> </w:t>
      </w:r>
      <w:r>
        <w:t xml:space="preserve"> The application of the bright</w:t>
      </w:r>
      <w:r w:rsidR="00D93EE9">
        <w:t>-</w:t>
      </w:r>
      <w:r>
        <w:t>line test to no</w:t>
      </w:r>
      <w:r w:rsidR="00D93EE9">
        <w:t>n-resident shareholders of land-</w:t>
      </w:r>
      <w:r>
        <w:t xml:space="preserve">rich companies under New Zealand’s </w:t>
      </w:r>
      <w:r w:rsidR="00D93EE9">
        <w:t>d</w:t>
      </w:r>
      <w:r>
        <w:t xml:space="preserve">ouble </w:t>
      </w:r>
      <w:r w:rsidR="00D93EE9">
        <w:t>t</w:t>
      </w:r>
      <w:r>
        <w:t xml:space="preserve">ax </w:t>
      </w:r>
      <w:r w:rsidR="00D93EE9">
        <w:t>a</w:t>
      </w:r>
      <w:r>
        <w:t>greement network needs to be considered and its implications spelled out.</w:t>
      </w:r>
    </w:p>
    <w:p w:rsidR="009F0F23" w:rsidRDefault="009F0F23" w:rsidP="009F0F23"/>
    <w:p w:rsidR="006F08A6" w:rsidRPr="00DB4CC5" w:rsidRDefault="006F08A6" w:rsidP="006F08A6">
      <w:pPr>
        <w:pStyle w:val="Heading2"/>
        <w:rPr>
          <w:lang w:val="en-NZ"/>
        </w:rPr>
      </w:pPr>
      <w:r w:rsidRPr="00DB4CC5">
        <w:rPr>
          <w:lang w:val="en-NZ"/>
        </w:rPr>
        <w:t>Comment</w:t>
      </w:r>
    </w:p>
    <w:p w:rsidR="006F08A6" w:rsidRDefault="006F08A6" w:rsidP="006F08A6">
      <w:pPr>
        <w:rPr>
          <w:lang w:val="en-NZ"/>
        </w:rPr>
      </w:pPr>
    </w:p>
    <w:p w:rsidR="009F0F23" w:rsidRDefault="009F0F23" w:rsidP="009F0F23">
      <w:r>
        <w:t>Proposed sections GB 52 and</w:t>
      </w:r>
      <w:r w:rsidR="00FC0A14">
        <w:t xml:space="preserve"> GB</w:t>
      </w:r>
      <w:r>
        <w:t xml:space="preserve"> 53 </w:t>
      </w:r>
      <w:r w:rsidR="00580E7F">
        <w:t>are</w:t>
      </w:r>
      <w:r>
        <w:t xml:space="preserve"> specific anti-avoidance rules.</w:t>
      </w:r>
      <w:r w:rsidR="00F80A3E">
        <w:t xml:space="preserve"> </w:t>
      </w:r>
      <w:r>
        <w:t xml:space="preserve"> In certain circumstances</w:t>
      </w:r>
      <w:r w:rsidR="003D5427">
        <w:t>,</w:t>
      </w:r>
      <w:r w:rsidR="00F3381F">
        <w:t xml:space="preserve"> a shareholder of a land-</w:t>
      </w:r>
      <w:r>
        <w:t>rich company, or trustee of a land rich trust, will be treated as disposing of land for the market value.</w:t>
      </w:r>
    </w:p>
    <w:p w:rsidR="009F0F23" w:rsidRDefault="009F0F23" w:rsidP="009F0F23"/>
    <w:p w:rsidR="009F0F23" w:rsidRDefault="009F0F23" w:rsidP="009F0F23">
      <w:r>
        <w:t>Inland Revenue’s view is that the proposed legislation does not raise any issues of override in this situation.</w:t>
      </w:r>
      <w:r w:rsidR="00F80A3E">
        <w:t xml:space="preserve"> </w:t>
      </w:r>
      <w:r>
        <w:t xml:space="preserve"> This is because specific anti-avoidance rules are applied to the situation to establish the appropriate tax result under New Zealand’s domestic law, and then</w:t>
      </w:r>
      <w:r w:rsidR="00DA7211">
        <w:t xml:space="preserve"> the</w:t>
      </w:r>
      <w:r>
        <w:t xml:space="preserve"> relevant </w:t>
      </w:r>
      <w:r w:rsidR="00DA7211">
        <w:t>d</w:t>
      </w:r>
      <w:r w:rsidR="001876A7">
        <w:t xml:space="preserve">ouble </w:t>
      </w:r>
      <w:r w:rsidR="00DA7211">
        <w:t>t</w:t>
      </w:r>
      <w:r w:rsidR="001876A7">
        <w:t xml:space="preserve">ax </w:t>
      </w:r>
      <w:r w:rsidR="00DA7211">
        <w:t>a</w:t>
      </w:r>
      <w:r w:rsidR="001876A7">
        <w:t>greement</w:t>
      </w:r>
      <w:r>
        <w:t xml:space="preserve"> will be applied to that tax result.</w:t>
      </w:r>
    </w:p>
    <w:p w:rsidR="009F0F23" w:rsidRDefault="009F0F23" w:rsidP="009F0F23"/>
    <w:p w:rsidR="009F0F23" w:rsidRPr="009B557D" w:rsidRDefault="009F0F23" w:rsidP="009F0F23">
      <w:pPr>
        <w:pStyle w:val="FootnoteText"/>
        <w:rPr>
          <w:sz w:val="24"/>
        </w:rPr>
      </w:pPr>
      <w:r w:rsidRPr="009B557D">
        <w:rPr>
          <w:sz w:val="24"/>
        </w:rPr>
        <w:t xml:space="preserve">However, it should be noted that the benefits of a </w:t>
      </w:r>
      <w:r w:rsidR="00DA7211">
        <w:rPr>
          <w:sz w:val="24"/>
        </w:rPr>
        <w:t>d</w:t>
      </w:r>
      <w:r w:rsidRPr="009B557D">
        <w:rPr>
          <w:sz w:val="24"/>
        </w:rPr>
        <w:t xml:space="preserve">ouble </w:t>
      </w:r>
      <w:r w:rsidR="00DA7211">
        <w:rPr>
          <w:sz w:val="24"/>
        </w:rPr>
        <w:t>t</w:t>
      </w:r>
      <w:r w:rsidRPr="009B557D">
        <w:rPr>
          <w:sz w:val="24"/>
        </w:rPr>
        <w:t xml:space="preserve">ax </w:t>
      </w:r>
      <w:r w:rsidR="00DA7211">
        <w:rPr>
          <w:sz w:val="24"/>
        </w:rPr>
        <w:t>a</w:t>
      </w:r>
      <w:r w:rsidRPr="009B557D">
        <w:rPr>
          <w:sz w:val="24"/>
        </w:rPr>
        <w:t>greement are not available whe</w:t>
      </w:r>
      <w:r w:rsidR="00DA7211">
        <w:rPr>
          <w:sz w:val="24"/>
        </w:rPr>
        <w:t>n</w:t>
      </w:r>
      <w:r w:rsidRPr="009B557D">
        <w:rPr>
          <w:sz w:val="24"/>
        </w:rPr>
        <w:t xml:space="preserve"> a main purpose for entering into certain transactions or arrangements is to secure a more favourable tax position</w:t>
      </w:r>
      <w:r w:rsidR="00DA7211">
        <w:rPr>
          <w:sz w:val="24"/>
        </w:rPr>
        <w:t>,</w:t>
      </w:r>
      <w:r w:rsidRPr="009B557D">
        <w:rPr>
          <w:sz w:val="24"/>
        </w:rPr>
        <w:t xml:space="preserve"> obtaining more favourable treatment in these circumstances would be contrary to the object and purpose of the relevant provision</w:t>
      </w:r>
      <w:r w:rsidR="00F16E3E">
        <w:rPr>
          <w:sz w:val="24"/>
        </w:rPr>
        <w:t>.  T</w:t>
      </w:r>
      <w:r w:rsidRPr="009B557D">
        <w:rPr>
          <w:sz w:val="24"/>
        </w:rPr>
        <w:t>his is likely to be the case whe</w:t>
      </w:r>
      <w:r w:rsidR="00DA7211">
        <w:rPr>
          <w:sz w:val="24"/>
        </w:rPr>
        <w:t>n sections</w:t>
      </w:r>
      <w:r w:rsidRPr="009B557D">
        <w:rPr>
          <w:sz w:val="24"/>
        </w:rPr>
        <w:t xml:space="preserve"> GB 52 or GB 53 apply.</w:t>
      </w:r>
    </w:p>
    <w:p w:rsidR="006F08A6" w:rsidRPr="00DB4CC5" w:rsidRDefault="006F08A6" w:rsidP="006F08A6">
      <w:pPr>
        <w:rPr>
          <w:lang w:val="en-NZ"/>
        </w:rPr>
      </w:pPr>
    </w:p>
    <w:p w:rsidR="006F08A6" w:rsidRPr="00DB4CC5" w:rsidRDefault="006F08A6" w:rsidP="006F08A6">
      <w:pPr>
        <w:pStyle w:val="Heading2"/>
        <w:rPr>
          <w:lang w:val="en-NZ"/>
        </w:rPr>
      </w:pPr>
      <w:r w:rsidRPr="00DB4CC5">
        <w:rPr>
          <w:lang w:val="en-NZ"/>
        </w:rPr>
        <w:t>Recommendation</w:t>
      </w:r>
    </w:p>
    <w:p w:rsidR="006F08A6" w:rsidRPr="00DB4CC5" w:rsidRDefault="006F08A6" w:rsidP="006F08A6">
      <w:pPr>
        <w:rPr>
          <w:lang w:val="en-NZ"/>
        </w:rPr>
      </w:pPr>
    </w:p>
    <w:p w:rsidR="006F08A6" w:rsidRDefault="006F08A6" w:rsidP="006F08A6">
      <w:pPr>
        <w:rPr>
          <w:lang w:val="en-NZ"/>
        </w:rPr>
      </w:pPr>
      <w:r w:rsidRPr="00DB4CC5">
        <w:rPr>
          <w:lang w:val="en-NZ"/>
        </w:rPr>
        <w:t>That the submission be</w:t>
      </w:r>
      <w:r w:rsidR="00905068">
        <w:rPr>
          <w:lang w:val="en-NZ"/>
        </w:rPr>
        <w:t xml:space="preserve"> </w:t>
      </w:r>
      <w:r w:rsidR="009F0F23">
        <w:rPr>
          <w:lang w:val="en-NZ"/>
        </w:rPr>
        <w:t>noted.</w:t>
      </w:r>
    </w:p>
    <w:p w:rsidR="00AB641C" w:rsidRPr="00DB4CC5" w:rsidRDefault="00AB641C" w:rsidP="00AB641C">
      <w:pPr>
        <w:pBdr>
          <w:bottom w:val="single" w:sz="4" w:space="1" w:color="auto"/>
        </w:pBdr>
        <w:rPr>
          <w:lang w:val="en-NZ"/>
        </w:rPr>
      </w:pPr>
    </w:p>
    <w:p w:rsidR="00AB641C" w:rsidRDefault="00AB641C" w:rsidP="00AB641C">
      <w:pPr>
        <w:rPr>
          <w:lang w:val="en-NZ"/>
        </w:rPr>
      </w:pPr>
    </w:p>
    <w:p w:rsidR="0021448C" w:rsidRPr="00DB4CC5" w:rsidRDefault="0021448C" w:rsidP="00AB641C">
      <w:pPr>
        <w:rPr>
          <w:lang w:val="en-NZ"/>
        </w:rPr>
      </w:pPr>
    </w:p>
    <w:p w:rsidR="00AB641C" w:rsidRPr="00DB4CC5" w:rsidRDefault="00AB641C" w:rsidP="00AB641C">
      <w:pPr>
        <w:pStyle w:val="Heading5"/>
        <w:ind w:left="794" w:hanging="794"/>
        <w:rPr>
          <w:lang w:val="en-NZ"/>
        </w:rPr>
      </w:pPr>
      <w:bookmarkStart w:id="89" w:name="_Toc432411977"/>
      <w:r w:rsidRPr="00DB4CC5">
        <w:rPr>
          <w:lang w:val="en-NZ"/>
        </w:rPr>
        <w:t>Issue:</w:t>
      </w:r>
      <w:r w:rsidRPr="00DB4CC5">
        <w:rPr>
          <w:lang w:val="en-NZ"/>
        </w:rPr>
        <w:tab/>
      </w:r>
      <w:r w:rsidR="00905068">
        <w:rPr>
          <w:lang w:val="en-NZ"/>
        </w:rPr>
        <w:t>Should allow deductions for shareholder</w:t>
      </w:r>
      <w:bookmarkEnd w:id="89"/>
    </w:p>
    <w:p w:rsidR="00AB641C" w:rsidRPr="00DB4CC5" w:rsidRDefault="00AB641C" w:rsidP="00AB641C">
      <w:pPr>
        <w:rPr>
          <w:lang w:val="en-NZ"/>
        </w:rPr>
      </w:pPr>
    </w:p>
    <w:p w:rsidR="00AB641C" w:rsidRPr="00DB4CC5" w:rsidRDefault="00AB641C" w:rsidP="00AB641C">
      <w:pPr>
        <w:rPr>
          <w:lang w:val="en-NZ"/>
        </w:rPr>
      </w:pPr>
    </w:p>
    <w:p w:rsidR="00AB641C" w:rsidRPr="00DB4CC5" w:rsidRDefault="00AB641C" w:rsidP="00AB641C">
      <w:pPr>
        <w:pStyle w:val="Heading2"/>
        <w:rPr>
          <w:lang w:val="en-NZ"/>
        </w:rPr>
      </w:pPr>
      <w:r w:rsidRPr="00DB4CC5">
        <w:rPr>
          <w:lang w:val="en-NZ"/>
        </w:rPr>
        <w:t>Submission</w:t>
      </w:r>
    </w:p>
    <w:p w:rsidR="00AB641C" w:rsidRPr="00DB4CC5" w:rsidRDefault="00AB641C" w:rsidP="00AB641C">
      <w:pPr>
        <w:pStyle w:val="Heading4"/>
        <w:rPr>
          <w:lang w:val="en-NZ"/>
        </w:rPr>
      </w:pPr>
      <w:r>
        <w:rPr>
          <w:lang w:val="en-NZ"/>
        </w:rPr>
        <w:t>(</w:t>
      </w:r>
      <w:proofErr w:type="spellStart"/>
      <w:proofErr w:type="gramStart"/>
      <w:r>
        <w:rPr>
          <w:lang w:val="en-NZ"/>
        </w:rPr>
        <w:t>nsaTax</w:t>
      </w:r>
      <w:proofErr w:type="spellEnd"/>
      <w:proofErr w:type="gramEnd"/>
      <w:r w:rsidR="00905068">
        <w:rPr>
          <w:lang w:val="en-NZ"/>
        </w:rPr>
        <w:t>, EY</w:t>
      </w:r>
      <w:r>
        <w:rPr>
          <w:lang w:val="en-NZ"/>
        </w:rPr>
        <w:t>)</w:t>
      </w:r>
    </w:p>
    <w:p w:rsidR="00AB641C" w:rsidRDefault="00AB641C" w:rsidP="00AB641C">
      <w:pPr>
        <w:tabs>
          <w:tab w:val="left" w:pos="5295"/>
        </w:tabs>
        <w:rPr>
          <w:lang w:val="en-NZ"/>
        </w:rPr>
      </w:pPr>
    </w:p>
    <w:p w:rsidR="00AB641C" w:rsidRDefault="00AB641C" w:rsidP="00AB641C">
      <w:pPr>
        <w:tabs>
          <w:tab w:val="left" w:pos="5295"/>
        </w:tabs>
        <w:rPr>
          <w:lang w:val="en-NZ"/>
        </w:rPr>
      </w:pPr>
      <w:r>
        <w:rPr>
          <w:lang w:val="en-NZ"/>
        </w:rPr>
        <w:t>The proposed anti-avoidance rule does not allow the shareholder</w:t>
      </w:r>
      <w:r w:rsidR="00905068">
        <w:rPr>
          <w:lang w:val="en-NZ"/>
        </w:rPr>
        <w:t xml:space="preserve"> or trustees</w:t>
      </w:r>
      <w:r>
        <w:rPr>
          <w:lang w:val="en-NZ"/>
        </w:rPr>
        <w:t xml:space="preserve"> to claim any deductions for the cost price of the land, capital expenditure, or related selling costs</w:t>
      </w:r>
      <w:r w:rsidR="00E23BAB">
        <w:rPr>
          <w:lang w:val="en-NZ"/>
        </w:rPr>
        <w:t xml:space="preserve"> (including cost of shares)</w:t>
      </w:r>
      <w:r w:rsidR="00F16E3E">
        <w:rPr>
          <w:lang w:val="en-NZ"/>
        </w:rPr>
        <w:t>.  T</w:t>
      </w:r>
      <w:r>
        <w:rPr>
          <w:lang w:val="en-NZ"/>
        </w:rPr>
        <w:t xml:space="preserve">his is because it is the company that incurred the costs, but it is the shareholder </w:t>
      </w:r>
      <w:r w:rsidR="004004FE">
        <w:rPr>
          <w:lang w:val="en-NZ"/>
        </w:rPr>
        <w:t xml:space="preserve">who </w:t>
      </w:r>
      <w:r>
        <w:rPr>
          <w:lang w:val="en-NZ"/>
        </w:rPr>
        <w:t xml:space="preserve">is </w:t>
      </w:r>
      <w:r w:rsidR="005018C3">
        <w:rPr>
          <w:lang w:val="en-NZ"/>
        </w:rPr>
        <w:t>treated as receiving the gain</w:t>
      </w:r>
      <w:r w:rsidR="00F16E3E">
        <w:rPr>
          <w:lang w:val="en-NZ"/>
        </w:rPr>
        <w:t>.  T</w:t>
      </w:r>
      <w:r w:rsidR="00905068">
        <w:rPr>
          <w:lang w:val="en-NZ"/>
        </w:rPr>
        <w:t>his could lead to over</w:t>
      </w:r>
      <w:r w:rsidR="00852409">
        <w:rPr>
          <w:lang w:val="en-NZ"/>
        </w:rPr>
        <w:t>-</w:t>
      </w:r>
      <w:r w:rsidR="00905068">
        <w:rPr>
          <w:lang w:val="en-NZ"/>
        </w:rPr>
        <w:t>taxation</w:t>
      </w:r>
      <w:r w:rsidR="0021448C">
        <w:rPr>
          <w:lang w:val="en-NZ"/>
        </w:rPr>
        <w:t>.</w:t>
      </w:r>
    </w:p>
    <w:p w:rsidR="00905068" w:rsidRPr="0021448C" w:rsidRDefault="00905068" w:rsidP="0021448C"/>
    <w:p w:rsidR="00AB641C" w:rsidRPr="00DB4CC5" w:rsidRDefault="00AB641C" w:rsidP="00AB641C">
      <w:pPr>
        <w:pStyle w:val="Heading2"/>
        <w:rPr>
          <w:lang w:val="en-NZ"/>
        </w:rPr>
      </w:pPr>
      <w:r w:rsidRPr="00DB4CC5">
        <w:rPr>
          <w:lang w:val="en-NZ"/>
        </w:rPr>
        <w:t>Comment</w:t>
      </w:r>
    </w:p>
    <w:p w:rsidR="00AB641C" w:rsidRDefault="00AB641C" w:rsidP="00AB641C">
      <w:pPr>
        <w:rPr>
          <w:lang w:val="en-NZ"/>
        </w:rPr>
      </w:pPr>
    </w:p>
    <w:p w:rsidR="00905068" w:rsidRDefault="00905068" w:rsidP="00AB641C">
      <w:pPr>
        <w:rPr>
          <w:lang w:val="en-NZ"/>
        </w:rPr>
      </w:pPr>
      <w:r>
        <w:rPr>
          <w:lang w:val="en-NZ"/>
        </w:rPr>
        <w:t xml:space="preserve">We agree that the shareholder or trustee should be able to claim a deduction for the </w:t>
      </w:r>
      <w:r w:rsidR="00FE288E">
        <w:rPr>
          <w:lang w:val="en-NZ"/>
        </w:rPr>
        <w:t>cost of residential land as well the other deductions available to a seller of land.</w:t>
      </w:r>
    </w:p>
    <w:p w:rsidR="00852409" w:rsidRDefault="00852409" w:rsidP="00AB641C">
      <w:pPr>
        <w:rPr>
          <w:lang w:val="en-NZ"/>
        </w:rPr>
      </w:pPr>
    </w:p>
    <w:p w:rsidR="00852409" w:rsidRDefault="00852409" w:rsidP="00AB641C">
      <w:pPr>
        <w:rPr>
          <w:lang w:val="en-NZ"/>
        </w:rPr>
      </w:pPr>
      <w:r>
        <w:rPr>
          <w:lang w:val="en-NZ"/>
        </w:rPr>
        <w:t>In the case of a trustee</w:t>
      </w:r>
      <w:r w:rsidR="00F663FB">
        <w:rPr>
          <w:lang w:val="en-NZ"/>
        </w:rPr>
        <w:t>,</w:t>
      </w:r>
      <w:r>
        <w:rPr>
          <w:lang w:val="en-NZ"/>
        </w:rPr>
        <w:t xml:space="preserve"> we consider the current draft</w:t>
      </w:r>
      <w:r w:rsidR="00F663FB">
        <w:rPr>
          <w:lang w:val="en-NZ"/>
        </w:rPr>
        <w:t>ing</w:t>
      </w:r>
      <w:r>
        <w:rPr>
          <w:lang w:val="en-NZ"/>
        </w:rPr>
        <w:t xml:space="preserve"> would achieve this as</w:t>
      </w:r>
      <w:r w:rsidR="00F663FB">
        <w:rPr>
          <w:lang w:val="en-NZ"/>
        </w:rPr>
        <w:t xml:space="preserve"> section</w:t>
      </w:r>
      <w:r>
        <w:rPr>
          <w:lang w:val="en-NZ"/>
        </w:rPr>
        <w:t xml:space="preserve"> GB 53 deems the trustee to have disposed of the land</w:t>
      </w:r>
      <w:r w:rsidR="00F16E3E">
        <w:rPr>
          <w:lang w:val="en-NZ"/>
        </w:rPr>
        <w:t>.  T</w:t>
      </w:r>
      <w:r>
        <w:rPr>
          <w:lang w:val="en-NZ"/>
        </w:rPr>
        <w:t>he trustee will have incurred the cost of the residential land and so will be entitled to a deduction.</w:t>
      </w:r>
    </w:p>
    <w:p w:rsidR="00852409" w:rsidRDefault="00852409" w:rsidP="00AB641C">
      <w:pPr>
        <w:rPr>
          <w:lang w:val="en-NZ"/>
        </w:rPr>
      </w:pPr>
    </w:p>
    <w:p w:rsidR="00852409" w:rsidRDefault="00852409" w:rsidP="00AB641C">
      <w:pPr>
        <w:rPr>
          <w:lang w:val="en-NZ"/>
        </w:rPr>
      </w:pPr>
      <w:r>
        <w:rPr>
          <w:lang w:val="en-NZ"/>
        </w:rPr>
        <w:t>In the case of a shareholder we consider tha</w:t>
      </w:r>
      <w:r w:rsidR="005D15DA">
        <w:rPr>
          <w:lang w:val="en-NZ"/>
        </w:rPr>
        <w:t>t</w:t>
      </w:r>
      <w:r w:rsidR="00562394">
        <w:rPr>
          <w:lang w:val="en-NZ"/>
        </w:rPr>
        <w:t xml:space="preserve"> section</w:t>
      </w:r>
      <w:r>
        <w:rPr>
          <w:lang w:val="en-NZ"/>
        </w:rPr>
        <w:t xml:space="preserve"> GB 52 should be amended to entitle them to </w:t>
      </w:r>
      <w:r w:rsidR="001E0183">
        <w:rPr>
          <w:lang w:val="en-NZ"/>
        </w:rPr>
        <w:t>a deduction that would have been available if they had sold the land themselves.</w:t>
      </w:r>
    </w:p>
    <w:p w:rsidR="00AB641C" w:rsidRPr="00DB4CC5" w:rsidRDefault="00AB641C" w:rsidP="00AB641C">
      <w:pPr>
        <w:rPr>
          <w:lang w:val="en-NZ"/>
        </w:rPr>
      </w:pPr>
    </w:p>
    <w:p w:rsidR="00AB641C" w:rsidRPr="00DB4CC5" w:rsidRDefault="00AB641C" w:rsidP="00AB641C">
      <w:pPr>
        <w:pStyle w:val="Heading2"/>
        <w:rPr>
          <w:lang w:val="en-NZ"/>
        </w:rPr>
      </w:pPr>
      <w:r w:rsidRPr="00DB4CC5">
        <w:rPr>
          <w:lang w:val="en-NZ"/>
        </w:rPr>
        <w:t>Recommendation</w:t>
      </w:r>
    </w:p>
    <w:p w:rsidR="00AB641C" w:rsidRPr="00DB4CC5" w:rsidRDefault="00AB641C" w:rsidP="00AB641C">
      <w:pPr>
        <w:rPr>
          <w:lang w:val="en-NZ"/>
        </w:rPr>
      </w:pPr>
    </w:p>
    <w:p w:rsidR="00AB641C" w:rsidRDefault="00905068" w:rsidP="00AB641C">
      <w:pPr>
        <w:pBdr>
          <w:bottom w:val="single" w:sz="4" w:space="1" w:color="auto"/>
        </w:pBdr>
        <w:rPr>
          <w:lang w:val="en-NZ"/>
        </w:rPr>
      </w:pPr>
      <w:r>
        <w:rPr>
          <w:lang w:val="en-NZ"/>
        </w:rPr>
        <w:t>That the submission be accepted</w:t>
      </w:r>
      <w:r w:rsidR="00562394">
        <w:rPr>
          <w:lang w:val="en-NZ"/>
        </w:rPr>
        <w:t>,</w:t>
      </w:r>
      <w:r w:rsidR="00852409">
        <w:rPr>
          <w:lang w:val="en-NZ"/>
        </w:rPr>
        <w:t xml:space="preserve"> subject to </w:t>
      </w:r>
      <w:r w:rsidR="00282E28">
        <w:rPr>
          <w:lang w:val="en-NZ"/>
        </w:rPr>
        <w:t>officials’</w:t>
      </w:r>
      <w:r w:rsidR="00852409">
        <w:rPr>
          <w:lang w:val="en-NZ"/>
        </w:rPr>
        <w:t xml:space="preserve"> comments</w:t>
      </w:r>
      <w:r>
        <w:rPr>
          <w:lang w:val="en-NZ"/>
        </w:rPr>
        <w:t>.</w:t>
      </w:r>
    </w:p>
    <w:p w:rsidR="00610822" w:rsidRDefault="00610822" w:rsidP="00AB641C">
      <w:pPr>
        <w:pBdr>
          <w:bottom w:val="single" w:sz="4" w:space="1" w:color="auto"/>
        </w:pBdr>
        <w:rPr>
          <w:lang w:val="en-NZ"/>
        </w:rPr>
      </w:pPr>
    </w:p>
    <w:p w:rsidR="00AB641C" w:rsidRDefault="00AB641C" w:rsidP="00AB641C">
      <w:pPr>
        <w:rPr>
          <w:lang w:val="en-NZ"/>
        </w:rPr>
      </w:pPr>
    </w:p>
    <w:p w:rsidR="00D13EB5" w:rsidRPr="00DB4CC5" w:rsidRDefault="00D13EB5" w:rsidP="00AB641C">
      <w:pPr>
        <w:rPr>
          <w:lang w:val="en-NZ"/>
        </w:rPr>
      </w:pPr>
    </w:p>
    <w:p w:rsidR="00AB641C" w:rsidRPr="00DB4CC5" w:rsidRDefault="00AB641C" w:rsidP="00AB641C">
      <w:pPr>
        <w:pStyle w:val="Heading5"/>
        <w:ind w:left="794" w:hanging="794"/>
        <w:rPr>
          <w:lang w:val="en-NZ"/>
        </w:rPr>
      </w:pPr>
      <w:bookmarkStart w:id="90" w:name="_Toc432411978"/>
      <w:r w:rsidRPr="00DB4CC5">
        <w:rPr>
          <w:lang w:val="en-NZ"/>
        </w:rPr>
        <w:t>Issue:</w:t>
      </w:r>
      <w:r w:rsidRPr="00DB4CC5">
        <w:rPr>
          <w:lang w:val="en-NZ"/>
        </w:rPr>
        <w:tab/>
      </w:r>
      <w:r w:rsidR="00BD2E7B">
        <w:rPr>
          <w:lang w:val="en-NZ"/>
        </w:rPr>
        <w:t>Determining value of company or trust assets</w:t>
      </w:r>
      <w:bookmarkEnd w:id="90"/>
    </w:p>
    <w:p w:rsidR="00AB641C" w:rsidRPr="00DB4CC5" w:rsidRDefault="00AB641C" w:rsidP="00AB641C">
      <w:pPr>
        <w:rPr>
          <w:lang w:val="en-NZ"/>
        </w:rPr>
      </w:pPr>
    </w:p>
    <w:p w:rsidR="00AB641C" w:rsidRPr="00DB4CC5" w:rsidRDefault="00AB641C" w:rsidP="00AB641C">
      <w:pPr>
        <w:rPr>
          <w:lang w:val="en-NZ"/>
        </w:rPr>
      </w:pPr>
    </w:p>
    <w:p w:rsidR="00AB641C" w:rsidRPr="00DB4CC5" w:rsidRDefault="00AB641C" w:rsidP="00AB641C">
      <w:pPr>
        <w:pStyle w:val="Heading2"/>
        <w:rPr>
          <w:lang w:val="en-NZ"/>
        </w:rPr>
      </w:pPr>
      <w:r w:rsidRPr="00DB4CC5">
        <w:rPr>
          <w:lang w:val="en-NZ"/>
        </w:rPr>
        <w:t>Submission</w:t>
      </w:r>
    </w:p>
    <w:p w:rsidR="00AB641C" w:rsidRPr="00DB4CC5" w:rsidRDefault="00AB641C" w:rsidP="00AB641C">
      <w:pPr>
        <w:pStyle w:val="Heading4"/>
        <w:rPr>
          <w:lang w:val="en-NZ"/>
        </w:rPr>
      </w:pPr>
      <w:r>
        <w:rPr>
          <w:lang w:val="en-NZ"/>
        </w:rPr>
        <w:t>(</w:t>
      </w:r>
      <w:proofErr w:type="spellStart"/>
      <w:proofErr w:type="gramStart"/>
      <w:r>
        <w:rPr>
          <w:lang w:val="en-NZ"/>
        </w:rPr>
        <w:t>nsaTax</w:t>
      </w:r>
      <w:proofErr w:type="spellEnd"/>
      <w:proofErr w:type="gramEnd"/>
      <w:r w:rsidR="00BD2E7B">
        <w:rPr>
          <w:lang w:val="en-NZ"/>
        </w:rPr>
        <w:t xml:space="preserve">, </w:t>
      </w:r>
      <w:r w:rsidR="001E29F7">
        <w:rPr>
          <w:lang w:val="en-NZ"/>
        </w:rPr>
        <w:t>P</w:t>
      </w:r>
      <w:r w:rsidR="00BD2E7B">
        <w:rPr>
          <w:lang w:val="en-NZ"/>
        </w:rPr>
        <w:t>w</w:t>
      </w:r>
      <w:r w:rsidR="001E29F7">
        <w:rPr>
          <w:lang w:val="en-NZ"/>
        </w:rPr>
        <w:t>C</w:t>
      </w:r>
      <w:r w:rsidR="00C60706">
        <w:rPr>
          <w:lang w:val="en-NZ"/>
        </w:rPr>
        <w:t>, EY</w:t>
      </w:r>
      <w:r>
        <w:rPr>
          <w:lang w:val="en-NZ"/>
        </w:rPr>
        <w:t>)</w:t>
      </w:r>
    </w:p>
    <w:p w:rsidR="00AB641C" w:rsidRDefault="00AB641C" w:rsidP="00AB641C">
      <w:pPr>
        <w:tabs>
          <w:tab w:val="left" w:pos="5295"/>
        </w:tabs>
        <w:rPr>
          <w:lang w:val="en-NZ"/>
        </w:rPr>
      </w:pPr>
    </w:p>
    <w:p w:rsidR="00AB641C" w:rsidRDefault="00AB641C" w:rsidP="00AB641C">
      <w:pPr>
        <w:tabs>
          <w:tab w:val="left" w:pos="5295"/>
        </w:tabs>
        <w:rPr>
          <w:lang w:val="en-NZ"/>
        </w:rPr>
      </w:pPr>
      <w:r>
        <w:rPr>
          <w:lang w:val="en-NZ"/>
        </w:rPr>
        <w:t>The land-rich company rule refers to the company’s residential land making up “…50% or more, by value, of the assets of the company;</w:t>
      </w:r>
      <w:proofErr w:type="gramStart"/>
      <w:r>
        <w:rPr>
          <w:lang w:val="en-NZ"/>
        </w:rPr>
        <w:t>”</w:t>
      </w:r>
      <w:r w:rsidR="00F16E3E">
        <w:rPr>
          <w:lang w:val="en-NZ"/>
        </w:rPr>
        <w:t>.</w:t>
      </w:r>
      <w:proofErr w:type="gramEnd"/>
      <w:r w:rsidR="00F16E3E">
        <w:rPr>
          <w:lang w:val="en-NZ"/>
        </w:rPr>
        <w:t xml:space="preserve">  T</w:t>
      </w:r>
      <w:r>
        <w:rPr>
          <w:lang w:val="en-NZ"/>
        </w:rPr>
        <w:t xml:space="preserve">he provision </w:t>
      </w:r>
      <w:r w:rsidR="00282E28">
        <w:rPr>
          <w:lang w:val="en-NZ"/>
        </w:rPr>
        <w:t>needs to clarify what “value” it is referring to as there are</w:t>
      </w:r>
      <w:r>
        <w:rPr>
          <w:lang w:val="en-NZ"/>
        </w:rPr>
        <w:t xml:space="preserve"> multiple possibilities and the time at which such measurement should be made.</w:t>
      </w:r>
    </w:p>
    <w:p w:rsidR="00AB641C" w:rsidRDefault="00AB641C" w:rsidP="00AB641C">
      <w:pPr>
        <w:tabs>
          <w:tab w:val="left" w:pos="5295"/>
        </w:tabs>
        <w:rPr>
          <w:lang w:val="en-NZ"/>
        </w:rPr>
      </w:pPr>
    </w:p>
    <w:p w:rsidR="00AB641C" w:rsidRDefault="00BD2E7B" w:rsidP="00AB641C">
      <w:pPr>
        <w:tabs>
          <w:tab w:val="left" w:pos="5295"/>
        </w:tabs>
        <w:rPr>
          <w:lang w:val="en-NZ"/>
        </w:rPr>
      </w:pPr>
      <w:r>
        <w:rPr>
          <w:lang w:val="en-NZ"/>
        </w:rPr>
        <w:t>It also needs to be clarified at</w:t>
      </w:r>
      <w:r w:rsidR="00AB641C">
        <w:rPr>
          <w:lang w:val="en-NZ"/>
        </w:rPr>
        <w:t xml:space="preserve"> what point in time </w:t>
      </w:r>
      <w:r>
        <w:rPr>
          <w:lang w:val="en-NZ"/>
        </w:rPr>
        <w:t>the</w:t>
      </w:r>
      <w:r w:rsidR="00AB641C">
        <w:rPr>
          <w:lang w:val="en-NZ"/>
        </w:rPr>
        <w:t xml:space="preserve"> value</w:t>
      </w:r>
      <w:r>
        <w:rPr>
          <w:lang w:val="en-NZ"/>
        </w:rPr>
        <w:t xml:space="preserve"> is measured.</w:t>
      </w:r>
    </w:p>
    <w:p w:rsidR="00AB641C" w:rsidRDefault="00AB641C" w:rsidP="00AB641C">
      <w:pPr>
        <w:tabs>
          <w:tab w:val="left" w:pos="5295"/>
        </w:tabs>
        <w:rPr>
          <w:lang w:val="en-NZ"/>
        </w:rPr>
      </w:pPr>
    </w:p>
    <w:p w:rsidR="00852409" w:rsidRDefault="00852409" w:rsidP="00AB641C">
      <w:pPr>
        <w:tabs>
          <w:tab w:val="left" w:pos="5295"/>
        </w:tabs>
        <w:rPr>
          <w:lang w:val="en-NZ"/>
        </w:rPr>
      </w:pPr>
      <w:r>
        <w:rPr>
          <w:lang w:val="en-NZ"/>
        </w:rPr>
        <w:t xml:space="preserve">Section GB 53 suffers the same gross inadequacies. </w:t>
      </w:r>
      <w:r w:rsidRPr="009B557D">
        <w:rPr>
          <w:i/>
          <w:lang w:val="en-NZ"/>
        </w:rPr>
        <w:t>(</w:t>
      </w:r>
      <w:proofErr w:type="spellStart"/>
      <w:proofErr w:type="gramStart"/>
      <w:r w:rsidRPr="009B557D">
        <w:rPr>
          <w:i/>
          <w:lang w:val="en-NZ"/>
        </w:rPr>
        <w:t>nsaTax</w:t>
      </w:r>
      <w:proofErr w:type="spellEnd"/>
      <w:proofErr w:type="gramEnd"/>
      <w:r w:rsidRPr="009B557D">
        <w:rPr>
          <w:i/>
          <w:lang w:val="en-NZ"/>
        </w:rPr>
        <w:t>)</w:t>
      </w:r>
    </w:p>
    <w:p w:rsidR="00852409" w:rsidRDefault="00852409" w:rsidP="00AB641C">
      <w:pPr>
        <w:tabs>
          <w:tab w:val="left" w:pos="5295"/>
        </w:tabs>
        <w:rPr>
          <w:lang w:val="en-NZ"/>
        </w:rPr>
      </w:pPr>
    </w:p>
    <w:p w:rsidR="00AB641C" w:rsidRPr="00DB4CC5" w:rsidRDefault="00BD2E7B" w:rsidP="00AB641C">
      <w:pPr>
        <w:tabs>
          <w:tab w:val="left" w:pos="5295"/>
        </w:tabs>
        <w:rPr>
          <w:lang w:val="en-NZ"/>
        </w:rPr>
      </w:pPr>
      <w:r>
        <w:rPr>
          <w:lang w:val="en-NZ"/>
        </w:rPr>
        <w:t>The anti-avoidance rule uses the term “value”</w:t>
      </w:r>
      <w:r w:rsidR="00F16E3E">
        <w:rPr>
          <w:lang w:val="en-NZ"/>
        </w:rPr>
        <w:t>.  T</w:t>
      </w:r>
      <w:r>
        <w:rPr>
          <w:lang w:val="en-NZ"/>
        </w:rPr>
        <w:t xml:space="preserve">his is undefined and the later reference in the section to “market value” could imply the term had a different meaning. </w:t>
      </w:r>
      <w:r w:rsidRPr="005D15DA">
        <w:rPr>
          <w:i/>
          <w:lang w:val="en-NZ"/>
        </w:rPr>
        <w:t>(EY)</w:t>
      </w:r>
    </w:p>
    <w:p w:rsidR="00AB641C" w:rsidRPr="00DB4CC5" w:rsidRDefault="00AB641C" w:rsidP="00AB641C">
      <w:pPr>
        <w:rPr>
          <w:lang w:val="en-NZ"/>
        </w:rPr>
      </w:pPr>
    </w:p>
    <w:p w:rsidR="00AB641C" w:rsidRPr="00DB4CC5" w:rsidRDefault="00AB641C" w:rsidP="00AB641C">
      <w:pPr>
        <w:pStyle w:val="Heading2"/>
        <w:rPr>
          <w:lang w:val="en-NZ"/>
        </w:rPr>
      </w:pPr>
      <w:r w:rsidRPr="00DB4CC5">
        <w:rPr>
          <w:lang w:val="en-NZ"/>
        </w:rPr>
        <w:t>Comment</w:t>
      </w:r>
    </w:p>
    <w:p w:rsidR="00AB641C" w:rsidRDefault="00AB641C" w:rsidP="00AB641C">
      <w:pPr>
        <w:rPr>
          <w:lang w:val="en-NZ"/>
        </w:rPr>
      </w:pPr>
    </w:p>
    <w:p w:rsidR="00E34ADF" w:rsidRDefault="00E34ADF" w:rsidP="00AB641C">
      <w:pPr>
        <w:rPr>
          <w:lang w:val="en-NZ"/>
        </w:rPr>
      </w:pPr>
      <w:r>
        <w:rPr>
          <w:lang w:val="en-NZ"/>
        </w:rPr>
        <w:t xml:space="preserve">We consider that </w:t>
      </w:r>
      <w:r w:rsidR="00852409">
        <w:rPr>
          <w:lang w:val="en-NZ"/>
        </w:rPr>
        <w:t>the method for determining “value” should be clarified by making clear that it should be “market value” that is considered.</w:t>
      </w:r>
    </w:p>
    <w:p w:rsidR="00AB641C" w:rsidRDefault="00AB641C" w:rsidP="00AB641C">
      <w:pPr>
        <w:rPr>
          <w:lang w:val="en-NZ"/>
        </w:rPr>
      </w:pPr>
    </w:p>
    <w:p w:rsidR="00713DC1" w:rsidRDefault="00272A0E" w:rsidP="00AB641C">
      <w:pPr>
        <w:rPr>
          <w:lang w:val="en-NZ"/>
        </w:rPr>
      </w:pPr>
      <w:r>
        <w:rPr>
          <w:lang w:val="en-NZ"/>
        </w:rPr>
        <w:t>With reference to the point at which</w:t>
      </w:r>
      <w:r w:rsidR="00852409">
        <w:rPr>
          <w:lang w:val="en-NZ"/>
        </w:rPr>
        <w:t xml:space="preserve"> point you determine the respective values, we consider that the current bill is clear in that the time you determine the values is the time that the actions in</w:t>
      </w:r>
      <w:r>
        <w:rPr>
          <w:lang w:val="en-NZ"/>
        </w:rPr>
        <w:t xml:space="preserve"> sections</w:t>
      </w:r>
      <w:r w:rsidR="00852409">
        <w:rPr>
          <w:lang w:val="en-NZ"/>
        </w:rPr>
        <w:t xml:space="preserve"> GB 52(1</w:t>
      </w:r>
      <w:proofErr w:type="gramStart"/>
      <w:r w:rsidR="00852409">
        <w:rPr>
          <w:lang w:val="en-NZ"/>
        </w:rPr>
        <w:t>)(</w:t>
      </w:r>
      <w:proofErr w:type="gramEnd"/>
      <w:r w:rsidR="00852409">
        <w:rPr>
          <w:lang w:val="en-NZ"/>
        </w:rPr>
        <w:t>c) or GB 53(1)(c) occur.</w:t>
      </w:r>
    </w:p>
    <w:p w:rsidR="00713DC1" w:rsidRPr="00DB4CC5" w:rsidRDefault="00713DC1" w:rsidP="00AB641C">
      <w:pPr>
        <w:rPr>
          <w:lang w:val="en-NZ"/>
        </w:rPr>
      </w:pPr>
    </w:p>
    <w:p w:rsidR="00AB641C" w:rsidRPr="00DB4CC5" w:rsidRDefault="00AB641C" w:rsidP="00AB641C">
      <w:pPr>
        <w:pStyle w:val="Heading2"/>
        <w:rPr>
          <w:lang w:val="en-NZ"/>
        </w:rPr>
      </w:pPr>
      <w:r w:rsidRPr="00DB4CC5">
        <w:rPr>
          <w:lang w:val="en-NZ"/>
        </w:rPr>
        <w:t>Recommendation</w:t>
      </w:r>
    </w:p>
    <w:p w:rsidR="00701DDD" w:rsidRDefault="00701DDD" w:rsidP="00701DDD">
      <w:pPr>
        <w:pBdr>
          <w:bottom w:val="single" w:sz="4" w:space="1" w:color="auto"/>
        </w:pBdr>
        <w:rPr>
          <w:lang w:val="en-NZ"/>
        </w:rPr>
      </w:pPr>
    </w:p>
    <w:p w:rsidR="008C549B" w:rsidRDefault="008C549B" w:rsidP="00701DDD">
      <w:pPr>
        <w:pBdr>
          <w:bottom w:val="single" w:sz="4" w:space="1" w:color="auto"/>
        </w:pBdr>
        <w:rPr>
          <w:lang w:val="en-NZ"/>
        </w:rPr>
      </w:pPr>
      <w:r>
        <w:rPr>
          <w:lang w:val="en-NZ"/>
        </w:rPr>
        <w:t>That the submission be accepted</w:t>
      </w:r>
      <w:r w:rsidR="00272A0E">
        <w:rPr>
          <w:lang w:val="en-NZ"/>
        </w:rPr>
        <w:t>,</w:t>
      </w:r>
      <w:r>
        <w:rPr>
          <w:lang w:val="en-NZ"/>
        </w:rPr>
        <w:t xml:space="preserve"> subject to officials’ comments.</w:t>
      </w:r>
    </w:p>
    <w:p w:rsidR="008C549B" w:rsidRPr="00DB4CC5" w:rsidRDefault="008C549B" w:rsidP="00701DDD">
      <w:pPr>
        <w:pBdr>
          <w:bottom w:val="single" w:sz="4" w:space="1" w:color="auto"/>
        </w:pBdr>
        <w:rPr>
          <w:lang w:val="en-NZ"/>
        </w:rPr>
      </w:pPr>
    </w:p>
    <w:p w:rsidR="00701DDD" w:rsidRDefault="00701DDD" w:rsidP="00701DDD">
      <w:pPr>
        <w:rPr>
          <w:lang w:val="en-NZ"/>
        </w:rPr>
      </w:pPr>
    </w:p>
    <w:p w:rsidR="00E5747E" w:rsidRDefault="00E5747E">
      <w:pPr>
        <w:jc w:val="left"/>
        <w:rPr>
          <w:b/>
          <w:sz w:val="26"/>
          <w:lang w:val="en-NZ"/>
        </w:rPr>
      </w:pPr>
      <w:r>
        <w:rPr>
          <w:lang w:val="en-NZ"/>
        </w:rPr>
        <w:br w:type="page"/>
      </w:r>
    </w:p>
    <w:p w:rsidR="00701DDD" w:rsidRPr="00DB4CC5" w:rsidRDefault="00701DDD" w:rsidP="00701DDD">
      <w:pPr>
        <w:pStyle w:val="Heading5"/>
        <w:ind w:left="794" w:hanging="794"/>
        <w:rPr>
          <w:lang w:val="en-NZ"/>
        </w:rPr>
      </w:pPr>
      <w:bookmarkStart w:id="91" w:name="_Toc432411979"/>
      <w:r w:rsidRPr="00DB4CC5">
        <w:rPr>
          <w:lang w:val="en-NZ"/>
        </w:rPr>
        <w:t>Issue:</w:t>
      </w:r>
      <w:r w:rsidRPr="00DB4CC5">
        <w:rPr>
          <w:lang w:val="en-NZ"/>
        </w:rPr>
        <w:tab/>
      </w:r>
      <w:r>
        <w:rPr>
          <w:lang w:val="en-NZ"/>
        </w:rPr>
        <w:t>Adjusting cost base of company</w:t>
      </w:r>
      <w:bookmarkEnd w:id="91"/>
    </w:p>
    <w:p w:rsidR="00701DDD" w:rsidRPr="00DB4CC5" w:rsidRDefault="00701DDD" w:rsidP="00701DDD">
      <w:pPr>
        <w:rPr>
          <w:lang w:val="en-NZ"/>
        </w:rPr>
      </w:pPr>
    </w:p>
    <w:p w:rsidR="00701DDD" w:rsidRPr="00DB4CC5" w:rsidRDefault="00701DDD" w:rsidP="00701DDD">
      <w:pPr>
        <w:rPr>
          <w:lang w:val="en-NZ"/>
        </w:rPr>
      </w:pPr>
    </w:p>
    <w:p w:rsidR="00701DDD" w:rsidRPr="00DB4CC5" w:rsidRDefault="00701DDD" w:rsidP="00701DDD">
      <w:pPr>
        <w:pStyle w:val="Heading2"/>
        <w:rPr>
          <w:lang w:val="en-NZ"/>
        </w:rPr>
      </w:pPr>
      <w:r w:rsidRPr="00DB4CC5">
        <w:rPr>
          <w:lang w:val="en-NZ"/>
        </w:rPr>
        <w:t>Submission</w:t>
      </w:r>
    </w:p>
    <w:p w:rsidR="00701DDD" w:rsidRPr="00DB4CC5" w:rsidRDefault="00701DDD" w:rsidP="00701DDD">
      <w:pPr>
        <w:pStyle w:val="Heading4"/>
        <w:rPr>
          <w:lang w:val="en-NZ"/>
        </w:rPr>
      </w:pPr>
      <w:r>
        <w:rPr>
          <w:lang w:val="en-NZ"/>
        </w:rPr>
        <w:t>(</w:t>
      </w:r>
      <w:proofErr w:type="spellStart"/>
      <w:proofErr w:type="gramStart"/>
      <w:r>
        <w:rPr>
          <w:lang w:val="en-NZ"/>
        </w:rPr>
        <w:t>nsaTax</w:t>
      </w:r>
      <w:proofErr w:type="spellEnd"/>
      <w:proofErr w:type="gramEnd"/>
      <w:r>
        <w:rPr>
          <w:lang w:val="en-NZ"/>
        </w:rPr>
        <w:t>)</w:t>
      </w:r>
    </w:p>
    <w:p w:rsidR="00701DDD" w:rsidRDefault="00701DDD" w:rsidP="00701DDD">
      <w:pPr>
        <w:tabs>
          <w:tab w:val="left" w:pos="5295"/>
        </w:tabs>
        <w:rPr>
          <w:lang w:val="en-NZ"/>
        </w:rPr>
      </w:pPr>
    </w:p>
    <w:p w:rsidR="00701DDD" w:rsidRDefault="00701DDD" w:rsidP="00701DDD">
      <w:pPr>
        <w:tabs>
          <w:tab w:val="left" w:pos="5295"/>
        </w:tabs>
        <w:rPr>
          <w:lang w:val="en-NZ"/>
        </w:rPr>
      </w:pPr>
      <w:r>
        <w:rPr>
          <w:lang w:val="en-NZ"/>
        </w:rPr>
        <w:t xml:space="preserve">If </w:t>
      </w:r>
      <w:r w:rsidR="00F90851">
        <w:rPr>
          <w:lang w:val="en-NZ"/>
        </w:rPr>
        <w:t>the anti-avoidance rule applies, the company should be deemed to have acquired the land at market value to avoid the same gain being taxed if the company sells the land within two years of acquisition.</w:t>
      </w:r>
    </w:p>
    <w:p w:rsidR="00701DDD" w:rsidRDefault="00701DDD" w:rsidP="00701DDD">
      <w:pPr>
        <w:rPr>
          <w:lang w:val="en-NZ"/>
        </w:rPr>
      </w:pPr>
    </w:p>
    <w:p w:rsidR="00852409" w:rsidRDefault="00852409" w:rsidP="00B01384">
      <w:pPr>
        <w:tabs>
          <w:tab w:val="left" w:pos="5295"/>
        </w:tabs>
        <w:rPr>
          <w:lang w:val="en-NZ"/>
        </w:rPr>
      </w:pPr>
      <w:r>
        <w:rPr>
          <w:lang w:val="en-NZ"/>
        </w:rPr>
        <w:t>If section GB 52 applies</w:t>
      </w:r>
      <w:r w:rsidR="00B07C37">
        <w:rPr>
          <w:lang w:val="en-NZ"/>
        </w:rPr>
        <w:t>,</w:t>
      </w:r>
      <w:r>
        <w:rPr>
          <w:lang w:val="en-NZ"/>
        </w:rPr>
        <w:t xml:space="preserve"> the company should be deemed to have acquired the land at market value to avoid the gain being double</w:t>
      </w:r>
      <w:r w:rsidR="00B07C37">
        <w:rPr>
          <w:lang w:val="en-NZ"/>
        </w:rPr>
        <w:t>-</w:t>
      </w:r>
      <w:r>
        <w:rPr>
          <w:lang w:val="en-NZ"/>
        </w:rPr>
        <w:t>taxed if the company later sells the land.</w:t>
      </w:r>
    </w:p>
    <w:p w:rsidR="00852409" w:rsidRPr="00DB4CC5" w:rsidRDefault="00852409" w:rsidP="00701DDD">
      <w:pPr>
        <w:rPr>
          <w:lang w:val="en-NZ"/>
        </w:rPr>
      </w:pPr>
    </w:p>
    <w:p w:rsidR="00701DDD" w:rsidRPr="00DB4CC5" w:rsidRDefault="00701DDD" w:rsidP="00701DDD">
      <w:pPr>
        <w:pStyle w:val="Heading2"/>
        <w:rPr>
          <w:lang w:val="en-NZ"/>
        </w:rPr>
      </w:pPr>
      <w:r w:rsidRPr="00DB4CC5">
        <w:rPr>
          <w:lang w:val="en-NZ"/>
        </w:rPr>
        <w:t>Comment</w:t>
      </w:r>
    </w:p>
    <w:p w:rsidR="00701DDD" w:rsidRDefault="00701DDD" w:rsidP="00701DDD">
      <w:pPr>
        <w:rPr>
          <w:lang w:val="en-NZ"/>
        </w:rPr>
      </w:pPr>
    </w:p>
    <w:p w:rsidR="00C20A3E" w:rsidRDefault="00B01384" w:rsidP="00701DDD">
      <w:pPr>
        <w:rPr>
          <w:lang w:val="en-NZ"/>
        </w:rPr>
      </w:pPr>
      <w:r>
        <w:rPr>
          <w:lang w:val="en-NZ"/>
        </w:rPr>
        <w:t>We agree that the current provision could lead to over-taxation</w:t>
      </w:r>
      <w:r w:rsidR="00F16E3E">
        <w:rPr>
          <w:lang w:val="en-NZ"/>
        </w:rPr>
        <w:t>.  A</w:t>
      </w:r>
      <w:r>
        <w:rPr>
          <w:lang w:val="en-NZ"/>
        </w:rPr>
        <w:t>djusting the cost base for the company is a sensible means of addressing this.</w:t>
      </w:r>
    </w:p>
    <w:p w:rsidR="008C549B" w:rsidRPr="00DB4CC5" w:rsidRDefault="008C549B" w:rsidP="00701DDD">
      <w:pPr>
        <w:rPr>
          <w:lang w:val="en-NZ"/>
        </w:rPr>
      </w:pPr>
    </w:p>
    <w:p w:rsidR="00701DDD" w:rsidRDefault="00701DDD" w:rsidP="00701DDD">
      <w:pPr>
        <w:pStyle w:val="Heading2"/>
        <w:rPr>
          <w:lang w:val="en-NZ"/>
        </w:rPr>
      </w:pPr>
      <w:r w:rsidRPr="00DB4CC5">
        <w:rPr>
          <w:lang w:val="en-NZ"/>
        </w:rPr>
        <w:t>Recommendation</w:t>
      </w:r>
    </w:p>
    <w:p w:rsidR="00901931" w:rsidRPr="00901931" w:rsidRDefault="00901931" w:rsidP="00901931">
      <w:pPr>
        <w:rPr>
          <w:lang w:val="en-NZ"/>
        </w:rPr>
      </w:pPr>
    </w:p>
    <w:p w:rsidR="00174907" w:rsidRDefault="00F90851" w:rsidP="00174907">
      <w:pPr>
        <w:pBdr>
          <w:bottom w:val="single" w:sz="4" w:space="1" w:color="auto"/>
        </w:pBdr>
        <w:rPr>
          <w:lang w:val="en-NZ"/>
        </w:rPr>
      </w:pPr>
      <w:r>
        <w:rPr>
          <w:lang w:val="en-NZ"/>
        </w:rPr>
        <w:t xml:space="preserve">That the submission be </w:t>
      </w:r>
      <w:r w:rsidR="00B01384">
        <w:rPr>
          <w:lang w:val="en-NZ"/>
        </w:rPr>
        <w:t>accepted</w:t>
      </w:r>
      <w:r>
        <w:rPr>
          <w:lang w:val="en-NZ"/>
        </w:rPr>
        <w:t>.</w:t>
      </w:r>
    </w:p>
    <w:p w:rsidR="00F90851" w:rsidRPr="00DB4CC5" w:rsidRDefault="00F90851" w:rsidP="00174907">
      <w:pPr>
        <w:pBdr>
          <w:bottom w:val="single" w:sz="4" w:space="1" w:color="auto"/>
        </w:pBdr>
        <w:rPr>
          <w:lang w:val="en-NZ"/>
        </w:rPr>
      </w:pPr>
    </w:p>
    <w:p w:rsidR="00174907" w:rsidRDefault="00174907" w:rsidP="00174907">
      <w:pPr>
        <w:rPr>
          <w:lang w:val="en-NZ"/>
        </w:rPr>
      </w:pPr>
    </w:p>
    <w:p w:rsidR="0021448C" w:rsidRPr="00DB4CC5" w:rsidRDefault="0021448C" w:rsidP="00174907">
      <w:pPr>
        <w:rPr>
          <w:lang w:val="en-NZ"/>
        </w:rPr>
      </w:pPr>
    </w:p>
    <w:p w:rsidR="00174907" w:rsidRPr="00DB4CC5" w:rsidRDefault="00174907" w:rsidP="00174907">
      <w:pPr>
        <w:pStyle w:val="Heading5"/>
        <w:ind w:left="794" w:hanging="794"/>
        <w:rPr>
          <w:lang w:val="en-NZ"/>
        </w:rPr>
      </w:pPr>
      <w:bookmarkStart w:id="92" w:name="_Toc432411980"/>
      <w:r w:rsidRPr="00DB4CC5">
        <w:rPr>
          <w:lang w:val="en-NZ"/>
        </w:rPr>
        <w:t>Issue:</w:t>
      </w:r>
      <w:r w:rsidRPr="00DB4CC5">
        <w:rPr>
          <w:lang w:val="en-NZ"/>
        </w:rPr>
        <w:tab/>
      </w:r>
      <w:r>
        <w:rPr>
          <w:lang w:val="en-NZ"/>
        </w:rPr>
        <w:t>Disposal of all residential land whe</w:t>
      </w:r>
      <w:r w:rsidR="00B07C37">
        <w:rPr>
          <w:lang w:val="en-NZ"/>
        </w:rPr>
        <w:t>n there is a</w:t>
      </w:r>
      <w:r>
        <w:rPr>
          <w:lang w:val="en-NZ"/>
        </w:rPr>
        <w:t xml:space="preserve"> partial sale of shares</w:t>
      </w:r>
      <w:bookmarkEnd w:id="92"/>
    </w:p>
    <w:p w:rsidR="00174907" w:rsidRPr="00DB4CC5" w:rsidRDefault="00174907" w:rsidP="00174907">
      <w:pPr>
        <w:rPr>
          <w:lang w:val="en-NZ"/>
        </w:rPr>
      </w:pPr>
    </w:p>
    <w:p w:rsidR="00174907" w:rsidRPr="00DB4CC5" w:rsidRDefault="00174907" w:rsidP="00174907">
      <w:pPr>
        <w:rPr>
          <w:lang w:val="en-NZ"/>
        </w:rPr>
      </w:pPr>
    </w:p>
    <w:p w:rsidR="00174907" w:rsidRPr="00DB4CC5" w:rsidRDefault="00174907" w:rsidP="00174907">
      <w:pPr>
        <w:pStyle w:val="Heading2"/>
        <w:rPr>
          <w:lang w:val="en-NZ"/>
        </w:rPr>
      </w:pPr>
      <w:r w:rsidRPr="00DB4CC5">
        <w:rPr>
          <w:lang w:val="en-NZ"/>
        </w:rPr>
        <w:t>Submission</w:t>
      </w:r>
    </w:p>
    <w:p w:rsidR="00174907" w:rsidRPr="00DB4CC5" w:rsidRDefault="00174907" w:rsidP="00174907">
      <w:pPr>
        <w:pStyle w:val="Heading4"/>
        <w:rPr>
          <w:lang w:val="en-NZ"/>
        </w:rPr>
      </w:pPr>
      <w:r>
        <w:rPr>
          <w:lang w:val="en-NZ"/>
        </w:rPr>
        <w:t>(New Zealand Law Society)</w:t>
      </w:r>
    </w:p>
    <w:p w:rsidR="00174907" w:rsidRDefault="00174907" w:rsidP="00174907">
      <w:pPr>
        <w:tabs>
          <w:tab w:val="left" w:pos="5295"/>
        </w:tabs>
        <w:rPr>
          <w:lang w:val="en-NZ"/>
        </w:rPr>
      </w:pPr>
    </w:p>
    <w:p w:rsidR="00174907" w:rsidRPr="00DB4CC5" w:rsidRDefault="00174907" w:rsidP="00174907">
      <w:pPr>
        <w:tabs>
          <w:tab w:val="left" w:pos="5295"/>
        </w:tabs>
        <w:rPr>
          <w:lang w:val="en-NZ"/>
        </w:rPr>
      </w:pPr>
      <w:r>
        <w:rPr>
          <w:lang w:val="en-NZ"/>
        </w:rPr>
        <w:t>The proposed anti-avoidance rule could lead to over</w:t>
      </w:r>
      <w:r w:rsidR="003E6474">
        <w:rPr>
          <w:lang w:val="en-NZ"/>
        </w:rPr>
        <w:t>-</w:t>
      </w:r>
      <w:r>
        <w:rPr>
          <w:lang w:val="en-NZ"/>
        </w:rPr>
        <w:t>taxation</w:t>
      </w:r>
      <w:r w:rsidR="00F16E3E">
        <w:rPr>
          <w:lang w:val="en-NZ"/>
        </w:rPr>
        <w:t>.  A</w:t>
      </w:r>
      <w:r>
        <w:rPr>
          <w:lang w:val="en-NZ"/>
        </w:rPr>
        <w:t xml:space="preserve"> sole shareholder will be treated as having disposed of all of the residential land owned by the company whe</w:t>
      </w:r>
      <w:r w:rsidR="00B07C37">
        <w:rPr>
          <w:lang w:val="en-NZ"/>
        </w:rPr>
        <w:t>n</w:t>
      </w:r>
      <w:r>
        <w:rPr>
          <w:lang w:val="en-NZ"/>
        </w:rPr>
        <w:t xml:space="preserve"> that shareholder disposes of 50</w:t>
      </w:r>
      <w:r w:rsidR="00B07C37">
        <w:rPr>
          <w:lang w:val="en-NZ"/>
        </w:rPr>
        <w:t xml:space="preserve"> percent</w:t>
      </w:r>
      <w:r>
        <w:rPr>
          <w:lang w:val="en-NZ"/>
        </w:rPr>
        <w:t xml:space="preserve"> or more of their shares to a third party</w:t>
      </w:r>
      <w:r w:rsidR="00F16E3E">
        <w:rPr>
          <w:lang w:val="en-NZ"/>
        </w:rPr>
        <w:t>.  G</w:t>
      </w:r>
      <w:r>
        <w:rPr>
          <w:lang w:val="en-NZ"/>
        </w:rPr>
        <w:t>iven that they retain up to 50</w:t>
      </w:r>
      <w:r w:rsidR="00B07C37">
        <w:rPr>
          <w:lang w:val="en-NZ"/>
        </w:rPr>
        <w:t xml:space="preserve"> percent</w:t>
      </w:r>
      <w:r>
        <w:rPr>
          <w:lang w:val="en-NZ"/>
        </w:rPr>
        <w:t xml:space="preserve"> of the shares, taxing the full gain from the land would over</w:t>
      </w:r>
      <w:r w:rsidR="00B07C37">
        <w:rPr>
          <w:lang w:val="en-NZ"/>
        </w:rPr>
        <w:t>-</w:t>
      </w:r>
      <w:r>
        <w:rPr>
          <w:lang w:val="en-NZ"/>
        </w:rPr>
        <w:t>tax them.</w:t>
      </w:r>
    </w:p>
    <w:p w:rsidR="00174907" w:rsidRPr="00DB4CC5" w:rsidRDefault="00174907" w:rsidP="00174907">
      <w:pPr>
        <w:rPr>
          <w:lang w:val="en-NZ"/>
        </w:rPr>
      </w:pPr>
    </w:p>
    <w:p w:rsidR="00174907" w:rsidRPr="00DB4CC5" w:rsidRDefault="00174907" w:rsidP="00174907">
      <w:pPr>
        <w:pStyle w:val="Heading2"/>
        <w:rPr>
          <w:lang w:val="en-NZ"/>
        </w:rPr>
      </w:pPr>
      <w:r w:rsidRPr="00DB4CC5">
        <w:rPr>
          <w:lang w:val="en-NZ"/>
        </w:rPr>
        <w:t>Comment</w:t>
      </w:r>
    </w:p>
    <w:p w:rsidR="00174907" w:rsidRDefault="00174907" w:rsidP="00174907">
      <w:pPr>
        <w:rPr>
          <w:lang w:val="en-NZ"/>
        </w:rPr>
      </w:pPr>
    </w:p>
    <w:p w:rsidR="00F04F45" w:rsidRDefault="00905068" w:rsidP="00174907">
      <w:pPr>
        <w:rPr>
          <w:lang w:val="en-NZ"/>
        </w:rPr>
      </w:pPr>
      <w:r>
        <w:rPr>
          <w:lang w:val="en-NZ"/>
        </w:rPr>
        <w:t xml:space="preserve">We agree that the rule </w:t>
      </w:r>
      <w:r w:rsidR="00AF643B">
        <w:rPr>
          <w:lang w:val="en-NZ"/>
        </w:rPr>
        <w:t>should</w:t>
      </w:r>
      <w:r>
        <w:rPr>
          <w:lang w:val="en-NZ"/>
        </w:rPr>
        <w:t xml:space="preserve"> be </w:t>
      </w:r>
      <w:r w:rsidR="00DE1E95">
        <w:rPr>
          <w:lang w:val="en-NZ"/>
        </w:rPr>
        <w:t xml:space="preserve">amended </w:t>
      </w:r>
      <w:r>
        <w:rPr>
          <w:lang w:val="en-NZ"/>
        </w:rPr>
        <w:t xml:space="preserve">to ensure that </w:t>
      </w:r>
      <w:r w:rsidR="00DE1E95">
        <w:rPr>
          <w:lang w:val="en-NZ"/>
        </w:rPr>
        <w:t>the person is only taxed on the gain from the land proportional to the amount of share</w:t>
      </w:r>
      <w:r w:rsidR="006E3535">
        <w:rPr>
          <w:lang w:val="en-NZ"/>
        </w:rPr>
        <w:t>s</w:t>
      </w:r>
      <w:r w:rsidR="00DE1E95">
        <w:rPr>
          <w:lang w:val="en-NZ"/>
        </w:rPr>
        <w:t xml:space="preserve"> that they actually disposed of.</w:t>
      </w:r>
    </w:p>
    <w:p w:rsidR="00174907" w:rsidRPr="00DB4CC5" w:rsidRDefault="00174907" w:rsidP="00174907">
      <w:pPr>
        <w:rPr>
          <w:lang w:val="en-NZ"/>
        </w:rPr>
      </w:pPr>
    </w:p>
    <w:p w:rsidR="00174907" w:rsidRPr="00DB4CC5" w:rsidRDefault="00174907" w:rsidP="00174907">
      <w:pPr>
        <w:pStyle w:val="Heading2"/>
        <w:rPr>
          <w:lang w:val="en-NZ"/>
        </w:rPr>
      </w:pPr>
      <w:r w:rsidRPr="00DB4CC5">
        <w:rPr>
          <w:lang w:val="en-NZ"/>
        </w:rPr>
        <w:t>Recommendation</w:t>
      </w:r>
    </w:p>
    <w:p w:rsidR="006F08A6" w:rsidRDefault="006F08A6" w:rsidP="004E6E00">
      <w:pPr>
        <w:jc w:val="left"/>
        <w:rPr>
          <w:lang w:val="en-NZ"/>
        </w:rPr>
      </w:pPr>
    </w:p>
    <w:p w:rsidR="00905068" w:rsidRDefault="00905068" w:rsidP="004E6E00">
      <w:pPr>
        <w:jc w:val="left"/>
        <w:rPr>
          <w:lang w:val="en-NZ"/>
        </w:rPr>
      </w:pPr>
      <w:r>
        <w:rPr>
          <w:lang w:val="en-NZ"/>
        </w:rPr>
        <w:t>That the submission be accepted.</w:t>
      </w:r>
    </w:p>
    <w:p w:rsidR="00174907" w:rsidRPr="00DB4CC5" w:rsidRDefault="00174907" w:rsidP="00174907">
      <w:pPr>
        <w:pBdr>
          <w:bottom w:val="single" w:sz="4" w:space="1" w:color="auto"/>
        </w:pBdr>
        <w:rPr>
          <w:lang w:val="en-NZ"/>
        </w:rPr>
      </w:pPr>
    </w:p>
    <w:p w:rsidR="00174907" w:rsidRDefault="00174907" w:rsidP="00174907">
      <w:pPr>
        <w:rPr>
          <w:lang w:val="en-NZ"/>
        </w:rPr>
      </w:pPr>
    </w:p>
    <w:p w:rsidR="00E5747E" w:rsidRDefault="00E5747E">
      <w:pPr>
        <w:jc w:val="left"/>
        <w:rPr>
          <w:b/>
          <w:sz w:val="26"/>
          <w:lang w:val="en-NZ"/>
        </w:rPr>
      </w:pPr>
      <w:r>
        <w:rPr>
          <w:lang w:val="en-NZ"/>
        </w:rPr>
        <w:br w:type="page"/>
      </w:r>
    </w:p>
    <w:p w:rsidR="00174907" w:rsidRPr="00DB4CC5" w:rsidRDefault="00174907" w:rsidP="00174907">
      <w:pPr>
        <w:pStyle w:val="Heading5"/>
        <w:ind w:left="794" w:hanging="794"/>
        <w:rPr>
          <w:lang w:val="en-NZ"/>
        </w:rPr>
      </w:pPr>
      <w:bookmarkStart w:id="93" w:name="_Toc432411981"/>
      <w:r w:rsidRPr="00DB4CC5">
        <w:rPr>
          <w:lang w:val="en-NZ"/>
        </w:rPr>
        <w:t>Issue:</w:t>
      </w:r>
      <w:r w:rsidRPr="00DB4CC5">
        <w:rPr>
          <w:lang w:val="en-NZ"/>
        </w:rPr>
        <w:tab/>
      </w:r>
      <w:r>
        <w:rPr>
          <w:lang w:val="en-NZ"/>
        </w:rPr>
        <w:t>Arrangement under the trust</w:t>
      </w:r>
      <w:bookmarkEnd w:id="93"/>
    </w:p>
    <w:p w:rsidR="00174907" w:rsidRPr="00DB4CC5" w:rsidRDefault="00174907" w:rsidP="00174907">
      <w:pPr>
        <w:rPr>
          <w:lang w:val="en-NZ"/>
        </w:rPr>
      </w:pPr>
    </w:p>
    <w:p w:rsidR="00174907" w:rsidRPr="00DB4CC5" w:rsidRDefault="00174907" w:rsidP="00174907">
      <w:pPr>
        <w:rPr>
          <w:lang w:val="en-NZ"/>
        </w:rPr>
      </w:pPr>
    </w:p>
    <w:p w:rsidR="00174907" w:rsidRPr="00DB4CC5" w:rsidRDefault="00174907" w:rsidP="00174907">
      <w:pPr>
        <w:pStyle w:val="Heading2"/>
        <w:rPr>
          <w:lang w:val="en-NZ"/>
        </w:rPr>
      </w:pPr>
      <w:r w:rsidRPr="00DB4CC5">
        <w:rPr>
          <w:lang w:val="en-NZ"/>
        </w:rPr>
        <w:t>Submission</w:t>
      </w:r>
    </w:p>
    <w:p w:rsidR="00174907" w:rsidRPr="00DB4CC5" w:rsidRDefault="00174907" w:rsidP="00174907">
      <w:pPr>
        <w:pStyle w:val="Heading4"/>
        <w:rPr>
          <w:lang w:val="en-NZ"/>
        </w:rPr>
      </w:pPr>
      <w:r>
        <w:rPr>
          <w:lang w:val="en-NZ"/>
        </w:rPr>
        <w:t>(New Zealand Law Society)</w:t>
      </w:r>
    </w:p>
    <w:p w:rsidR="00174907" w:rsidRDefault="00174907" w:rsidP="00174907">
      <w:pPr>
        <w:tabs>
          <w:tab w:val="left" w:pos="5295"/>
        </w:tabs>
        <w:rPr>
          <w:lang w:val="en-NZ"/>
        </w:rPr>
      </w:pPr>
    </w:p>
    <w:p w:rsidR="00174907" w:rsidRPr="00DB4CC5" w:rsidRDefault="002B31F5" w:rsidP="00174907">
      <w:pPr>
        <w:tabs>
          <w:tab w:val="left" w:pos="5295"/>
        </w:tabs>
        <w:rPr>
          <w:lang w:val="en-NZ"/>
        </w:rPr>
      </w:pPr>
      <w:r>
        <w:rPr>
          <w:lang w:val="en-NZ"/>
        </w:rPr>
        <w:t xml:space="preserve">The phrase </w:t>
      </w:r>
      <w:r w:rsidR="00174907">
        <w:rPr>
          <w:lang w:val="en-NZ"/>
        </w:rPr>
        <w:t>“an arrangement under the trust” is unclear</w:t>
      </w:r>
      <w:r w:rsidR="00F16E3E">
        <w:rPr>
          <w:lang w:val="en-NZ"/>
        </w:rPr>
        <w:t>.  O</w:t>
      </w:r>
      <w:r w:rsidR="00174907">
        <w:rPr>
          <w:lang w:val="en-NZ"/>
        </w:rPr>
        <w:t xml:space="preserve">fficials could treat almost any </w:t>
      </w:r>
      <w:r w:rsidR="00F04F45">
        <w:rPr>
          <w:lang w:val="en-NZ"/>
        </w:rPr>
        <w:t>arrangement</w:t>
      </w:r>
      <w:r w:rsidR="00174907">
        <w:rPr>
          <w:lang w:val="en-NZ"/>
        </w:rPr>
        <w:t xml:space="preserve"> as “an arrangement under the trust” for the purpose of invoking the specific anti-avoidance rule</w:t>
      </w:r>
      <w:r w:rsidR="00F16E3E">
        <w:rPr>
          <w:lang w:val="en-NZ"/>
        </w:rPr>
        <w:t>.  T</w:t>
      </w:r>
      <w:r w:rsidR="00C269D0">
        <w:rPr>
          <w:lang w:val="en-NZ"/>
        </w:rPr>
        <w:t>he section should not refer to changes in “an arrangement under the trust”</w:t>
      </w:r>
      <w:r w:rsidR="00B07C37">
        <w:rPr>
          <w:lang w:val="en-NZ"/>
        </w:rPr>
        <w:t>.</w:t>
      </w:r>
    </w:p>
    <w:p w:rsidR="00174907" w:rsidRPr="00DB4CC5" w:rsidRDefault="00174907" w:rsidP="00174907">
      <w:pPr>
        <w:rPr>
          <w:lang w:val="en-NZ"/>
        </w:rPr>
      </w:pPr>
    </w:p>
    <w:p w:rsidR="00174907" w:rsidRPr="00DB4CC5" w:rsidRDefault="00174907" w:rsidP="00174907">
      <w:pPr>
        <w:pStyle w:val="Heading2"/>
        <w:rPr>
          <w:lang w:val="en-NZ"/>
        </w:rPr>
      </w:pPr>
      <w:r w:rsidRPr="00DB4CC5">
        <w:rPr>
          <w:lang w:val="en-NZ"/>
        </w:rPr>
        <w:t>Comment</w:t>
      </w:r>
    </w:p>
    <w:p w:rsidR="00174907" w:rsidRDefault="00174907" w:rsidP="00174907">
      <w:pPr>
        <w:rPr>
          <w:lang w:val="en-NZ"/>
        </w:rPr>
      </w:pPr>
    </w:p>
    <w:p w:rsidR="00FC73B6" w:rsidRDefault="00C20A3E" w:rsidP="00174907">
      <w:pPr>
        <w:rPr>
          <w:lang w:val="en-NZ"/>
        </w:rPr>
      </w:pPr>
      <w:r>
        <w:rPr>
          <w:lang w:val="en-NZ"/>
        </w:rPr>
        <w:t xml:space="preserve">The provision for </w:t>
      </w:r>
      <w:r w:rsidR="001E0183">
        <w:rPr>
          <w:lang w:val="en-NZ"/>
        </w:rPr>
        <w:t xml:space="preserve">“an </w:t>
      </w:r>
      <w:r>
        <w:rPr>
          <w:lang w:val="en-NZ"/>
        </w:rPr>
        <w:t>arrangement</w:t>
      </w:r>
      <w:r w:rsidR="001E0183">
        <w:rPr>
          <w:lang w:val="en-NZ"/>
        </w:rPr>
        <w:t xml:space="preserve"> under the trust”</w:t>
      </w:r>
      <w:r>
        <w:rPr>
          <w:lang w:val="en-NZ"/>
        </w:rPr>
        <w:t xml:space="preserve"> is intended to cover several situations </w:t>
      </w:r>
      <w:r w:rsidR="00F16E3E">
        <w:rPr>
          <w:lang w:val="en-NZ"/>
        </w:rPr>
        <w:t>when</w:t>
      </w:r>
      <w:r>
        <w:rPr>
          <w:lang w:val="en-NZ"/>
        </w:rPr>
        <w:t xml:space="preserve"> trusts could be used to avoid the bright-line test</w:t>
      </w:r>
      <w:r w:rsidR="00F16E3E">
        <w:rPr>
          <w:lang w:val="en-NZ"/>
        </w:rPr>
        <w:t>.  T</w:t>
      </w:r>
      <w:r>
        <w:rPr>
          <w:lang w:val="en-NZ"/>
        </w:rPr>
        <w:t xml:space="preserve">his </w:t>
      </w:r>
      <w:r w:rsidR="00FC73B6">
        <w:rPr>
          <w:lang w:val="en-NZ"/>
        </w:rPr>
        <w:t>would include a change in the beneficiaries of a trust</w:t>
      </w:r>
      <w:r w:rsidR="00282E28">
        <w:rPr>
          <w:lang w:val="en-NZ"/>
        </w:rPr>
        <w:t xml:space="preserve"> </w:t>
      </w:r>
      <w:r w:rsidR="006C58A4">
        <w:rPr>
          <w:lang w:val="en-NZ"/>
        </w:rPr>
        <w:t>or the termination of the trust</w:t>
      </w:r>
      <w:r w:rsidR="00FC73B6">
        <w:rPr>
          <w:lang w:val="en-NZ"/>
        </w:rPr>
        <w:t>.</w:t>
      </w:r>
    </w:p>
    <w:p w:rsidR="00FC73B6" w:rsidRDefault="00FC73B6" w:rsidP="00174907">
      <w:pPr>
        <w:rPr>
          <w:lang w:val="en-NZ"/>
        </w:rPr>
      </w:pPr>
    </w:p>
    <w:p w:rsidR="00F04F45" w:rsidRDefault="00F04F45" w:rsidP="00174907">
      <w:pPr>
        <w:rPr>
          <w:lang w:val="en-NZ"/>
        </w:rPr>
      </w:pPr>
      <w:r>
        <w:rPr>
          <w:lang w:val="en-NZ"/>
        </w:rPr>
        <w:t xml:space="preserve">For the proposed anti-avoidance rule to </w:t>
      </w:r>
      <w:r w:rsidR="00FC73B6">
        <w:rPr>
          <w:lang w:val="en-NZ"/>
        </w:rPr>
        <w:t xml:space="preserve">apply </w:t>
      </w:r>
      <w:r>
        <w:rPr>
          <w:lang w:val="en-NZ"/>
        </w:rPr>
        <w:t>there would</w:t>
      </w:r>
      <w:r w:rsidR="00FC73B6">
        <w:rPr>
          <w:lang w:val="en-NZ"/>
        </w:rPr>
        <w:t xml:space="preserve"> still</w:t>
      </w:r>
      <w:r>
        <w:rPr>
          <w:lang w:val="en-NZ"/>
        </w:rPr>
        <w:t xml:space="preserve"> need to be a purpose or effect of defeating the intent and application of the bright-line test</w:t>
      </w:r>
      <w:r w:rsidR="00F16E3E">
        <w:rPr>
          <w:lang w:val="en-NZ"/>
        </w:rPr>
        <w:t>.  T</w:t>
      </w:r>
      <w:r>
        <w:rPr>
          <w:lang w:val="en-NZ"/>
        </w:rPr>
        <w:t>his limits the application of the rule in the case of an arrangement.</w:t>
      </w:r>
    </w:p>
    <w:p w:rsidR="00174907" w:rsidRPr="00DB4CC5" w:rsidRDefault="00174907" w:rsidP="00174907">
      <w:pPr>
        <w:rPr>
          <w:lang w:val="en-NZ"/>
        </w:rPr>
      </w:pPr>
    </w:p>
    <w:p w:rsidR="00174907" w:rsidRPr="00DB4CC5" w:rsidRDefault="00174907" w:rsidP="00174907">
      <w:pPr>
        <w:pStyle w:val="Heading2"/>
        <w:rPr>
          <w:lang w:val="en-NZ"/>
        </w:rPr>
      </w:pPr>
      <w:r w:rsidRPr="00DB4CC5">
        <w:rPr>
          <w:lang w:val="en-NZ"/>
        </w:rPr>
        <w:t>Recommendation</w:t>
      </w:r>
    </w:p>
    <w:p w:rsidR="00A42C4D" w:rsidRDefault="00A42C4D" w:rsidP="00A42C4D">
      <w:pPr>
        <w:pBdr>
          <w:bottom w:val="single" w:sz="4" w:space="1" w:color="auto"/>
        </w:pBdr>
        <w:rPr>
          <w:lang w:val="en-NZ"/>
        </w:rPr>
      </w:pPr>
    </w:p>
    <w:p w:rsidR="00A42C4D" w:rsidRPr="00DB4CC5" w:rsidRDefault="00905068" w:rsidP="00A42C4D">
      <w:pPr>
        <w:pBdr>
          <w:bottom w:val="single" w:sz="4" w:space="1" w:color="auto"/>
        </w:pBdr>
        <w:rPr>
          <w:lang w:val="en-NZ"/>
        </w:rPr>
      </w:pPr>
      <w:r>
        <w:rPr>
          <w:lang w:val="en-NZ"/>
        </w:rPr>
        <w:t>That the submission be noted.</w:t>
      </w:r>
    </w:p>
    <w:p w:rsidR="00A42C4D" w:rsidRPr="00DB4CC5" w:rsidRDefault="00A42C4D" w:rsidP="00A42C4D">
      <w:pPr>
        <w:pBdr>
          <w:bottom w:val="single" w:sz="4" w:space="1" w:color="auto"/>
        </w:pBdr>
        <w:rPr>
          <w:lang w:val="en-NZ"/>
        </w:rPr>
      </w:pPr>
    </w:p>
    <w:p w:rsidR="008602CC" w:rsidRDefault="008602CC" w:rsidP="0021448C"/>
    <w:p w:rsidR="0021448C" w:rsidRPr="0021448C" w:rsidRDefault="0021448C" w:rsidP="0021448C"/>
    <w:p w:rsidR="008602CC" w:rsidRPr="00DB4CC5" w:rsidRDefault="008602CC" w:rsidP="008602CC">
      <w:pPr>
        <w:pStyle w:val="Heading5"/>
        <w:ind w:left="794" w:hanging="794"/>
        <w:rPr>
          <w:lang w:val="en-NZ"/>
        </w:rPr>
      </w:pPr>
      <w:bookmarkStart w:id="94" w:name="_Toc432411982"/>
      <w:r w:rsidRPr="00DB4CC5">
        <w:rPr>
          <w:lang w:val="en-NZ"/>
        </w:rPr>
        <w:t>Issue:</w:t>
      </w:r>
      <w:r w:rsidRPr="00DB4CC5">
        <w:rPr>
          <w:lang w:val="en-NZ"/>
        </w:rPr>
        <w:tab/>
      </w:r>
      <w:r w:rsidR="00BD2E7B">
        <w:rPr>
          <w:lang w:val="en-NZ"/>
        </w:rPr>
        <w:t xml:space="preserve">Allowance for land acquired </w:t>
      </w:r>
      <w:r w:rsidR="00F047DD">
        <w:rPr>
          <w:lang w:val="en-NZ"/>
        </w:rPr>
        <w:t>before</w:t>
      </w:r>
      <w:r w:rsidR="00BD2E7B">
        <w:rPr>
          <w:lang w:val="en-NZ"/>
        </w:rPr>
        <w:t xml:space="preserve"> 1 October 2015</w:t>
      </w:r>
      <w:bookmarkEnd w:id="94"/>
    </w:p>
    <w:p w:rsidR="008602CC" w:rsidRPr="00DB4CC5" w:rsidRDefault="008602CC" w:rsidP="008602CC">
      <w:pPr>
        <w:rPr>
          <w:lang w:val="en-NZ"/>
        </w:rPr>
      </w:pPr>
    </w:p>
    <w:p w:rsidR="008602CC" w:rsidRPr="00DB4CC5" w:rsidRDefault="008602CC" w:rsidP="008602CC">
      <w:pPr>
        <w:rPr>
          <w:lang w:val="en-NZ"/>
        </w:rPr>
      </w:pPr>
    </w:p>
    <w:p w:rsidR="008602CC" w:rsidRPr="00DB4CC5" w:rsidRDefault="008602CC" w:rsidP="008602CC">
      <w:pPr>
        <w:pStyle w:val="Heading2"/>
        <w:rPr>
          <w:lang w:val="en-NZ"/>
        </w:rPr>
      </w:pPr>
      <w:r w:rsidRPr="00DB4CC5">
        <w:rPr>
          <w:lang w:val="en-NZ"/>
        </w:rPr>
        <w:t>Submission</w:t>
      </w:r>
    </w:p>
    <w:p w:rsidR="008602CC" w:rsidRPr="00DB4CC5" w:rsidRDefault="008602CC" w:rsidP="008602CC">
      <w:pPr>
        <w:pStyle w:val="Heading4"/>
        <w:rPr>
          <w:lang w:val="en-NZ"/>
        </w:rPr>
      </w:pPr>
      <w:r>
        <w:rPr>
          <w:lang w:val="en-NZ"/>
        </w:rPr>
        <w:t>(</w:t>
      </w:r>
      <w:r w:rsidR="00B07C37">
        <w:rPr>
          <w:lang w:val="en-NZ"/>
        </w:rPr>
        <w:t>P</w:t>
      </w:r>
      <w:r>
        <w:rPr>
          <w:lang w:val="en-NZ"/>
        </w:rPr>
        <w:t>w</w:t>
      </w:r>
      <w:r w:rsidR="00B07C37">
        <w:rPr>
          <w:lang w:val="en-NZ"/>
        </w:rPr>
        <w:t>C</w:t>
      </w:r>
      <w:r>
        <w:rPr>
          <w:lang w:val="en-NZ"/>
        </w:rPr>
        <w:t>)</w:t>
      </w:r>
    </w:p>
    <w:p w:rsidR="008602CC" w:rsidRDefault="008602CC" w:rsidP="008602CC">
      <w:pPr>
        <w:tabs>
          <w:tab w:val="left" w:pos="5295"/>
        </w:tabs>
        <w:rPr>
          <w:lang w:val="en-NZ"/>
        </w:rPr>
      </w:pPr>
    </w:p>
    <w:p w:rsidR="008602CC" w:rsidRDefault="00BD2E7B" w:rsidP="008602CC">
      <w:pPr>
        <w:tabs>
          <w:tab w:val="left" w:pos="5295"/>
        </w:tabs>
        <w:rPr>
          <w:lang w:val="en-NZ"/>
        </w:rPr>
      </w:pPr>
      <w:r>
        <w:rPr>
          <w:lang w:val="en-NZ"/>
        </w:rPr>
        <w:t>There is currently no allowance for land acquired before 1 October 2015 in the proposed anti-avoidance rule</w:t>
      </w:r>
      <w:r w:rsidR="00F16E3E">
        <w:rPr>
          <w:lang w:val="en-NZ"/>
        </w:rPr>
        <w:t>.  T</w:t>
      </w:r>
      <w:r>
        <w:rPr>
          <w:lang w:val="en-NZ"/>
        </w:rPr>
        <w:t>his land should be excluded from the rule.</w:t>
      </w:r>
    </w:p>
    <w:p w:rsidR="008602CC" w:rsidRPr="00DB4CC5" w:rsidRDefault="008602CC" w:rsidP="008602CC">
      <w:pPr>
        <w:rPr>
          <w:lang w:val="en-NZ"/>
        </w:rPr>
      </w:pPr>
    </w:p>
    <w:p w:rsidR="008602CC" w:rsidRPr="00DB4CC5" w:rsidRDefault="008602CC" w:rsidP="008602CC">
      <w:pPr>
        <w:pStyle w:val="Heading2"/>
        <w:rPr>
          <w:lang w:val="en-NZ"/>
        </w:rPr>
      </w:pPr>
      <w:r w:rsidRPr="00DB4CC5">
        <w:rPr>
          <w:lang w:val="en-NZ"/>
        </w:rPr>
        <w:t>Comment</w:t>
      </w:r>
    </w:p>
    <w:p w:rsidR="008602CC" w:rsidRDefault="008602CC" w:rsidP="008602CC">
      <w:pPr>
        <w:rPr>
          <w:lang w:val="en-NZ"/>
        </w:rPr>
      </w:pPr>
    </w:p>
    <w:p w:rsidR="00BD2E7B" w:rsidRDefault="00BD2E7B" w:rsidP="008602CC">
      <w:pPr>
        <w:rPr>
          <w:lang w:val="en-NZ"/>
        </w:rPr>
      </w:pPr>
      <w:r>
        <w:rPr>
          <w:lang w:val="en-NZ"/>
        </w:rPr>
        <w:t>The proposed anti-avoidance rule only applies when there are actions that have the purpose or effect of defeating the intent and application of the bright-line test.</w:t>
      </w:r>
    </w:p>
    <w:p w:rsidR="00901931" w:rsidRDefault="00901931" w:rsidP="008602CC">
      <w:pPr>
        <w:rPr>
          <w:lang w:val="en-NZ"/>
        </w:rPr>
      </w:pPr>
    </w:p>
    <w:p w:rsidR="00BD2E7B" w:rsidRDefault="00BD2E7B" w:rsidP="008602CC">
      <w:pPr>
        <w:rPr>
          <w:lang w:val="en-NZ"/>
        </w:rPr>
      </w:pPr>
      <w:r>
        <w:rPr>
          <w:lang w:val="en-NZ"/>
        </w:rPr>
        <w:t>As the bright-line test only applies</w:t>
      </w:r>
      <w:r w:rsidR="0044199C">
        <w:rPr>
          <w:lang w:val="en-NZ"/>
        </w:rPr>
        <w:t xml:space="preserve"> to land acquired on or after</w:t>
      </w:r>
      <w:r>
        <w:rPr>
          <w:lang w:val="en-NZ"/>
        </w:rPr>
        <w:t xml:space="preserve"> 1 October 2015,</w:t>
      </w:r>
      <w:r w:rsidR="0044199C">
        <w:rPr>
          <w:lang w:val="en-NZ"/>
        </w:rPr>
        <w:t xml:space="preserve"> there will only be a purpose or effect of defeating the intent and application of the bright-line test in </w:t>
      </w:r>
      <w:r w:rsidR="00B07C37">
        <w:rPr>
          <w:lang w:val="en-NZ"/>
        </w:rPr>
        <w:t xml:space="preserve">relation </w:t>
      </w:r>
      <w:r w:rsidR="0044199C">
        <w:rPr>
          <w:lang w:val="en-NZ"/>
        </w:rPr>
        <w:t>to actions</w:t>
      </w:r>
      <w:r w:rsidR="00B07C37">
        <w:rPr>
          <w:lang w:val="en-NZ"/>
        </w:rPr>
        <w:t xml:space="preserve"> that</w:t>
      </w:r>
      <w:r w:rsidR="0044199C">
        <w:rPr>
          <w:lang w:val="en-NZ"/>
        </w:rPr>
        <w:t xml:space="preserve"> relate to land acquired on or after 1 October 2015.</w:t>
      </w:r>
    </w:p>
    <w:p w:rsidR="002B31F5" w:rsidRPr="00DB4CC5" w:rsidRDefault="002B31F5" w:rsidP="008602CC">
      <w:pPr>
        <w:rPr>
          <w:lang w:val="en-NZ"/>
        </w:rPr>
      </w:pPr>
    </w:p>
    <w:p w:rsidR="008602CC" w:rsidRPr="00DB4CC5" w:rsidRDefault="008602CC" w:rsidP="008602CC">
      <w:pPr>
        <w:pStyle w:val="Heading2"/>
        <w:rPr>
          <w:lang w:val="en-NZ"/>
        </w:rPr>
      </w:pPr>
      <w:r w:rsidRPr="00DB4CC5">
        <w:rPr>
          <w:lang w:val="en-NZ"/>
        </w:rPr>
        <w:t>Recommendation</w:t>
      </w:r>
    </w:p>
    <w:p w:rsidR="008602CC" w:rsidRDefault="008602CC" w:rsidP="008602CC">
      <w:pPr>
        <w:pBdr>
          <w:bottom w:val="single" w:sz="4" w:space="1" w:color="auto"/>
        </w:pBdr>
        <w:rPr>
          <w:lang w:val="en-NZ"/>
        </w:rPr>
      </w:pPr>
    </w:p>
    <w:p w:rsidR="0044199C" w:rsidRDefault="0044199C" w:rsidP="008602CC">
      <w:pPr>
        <w:pBdr>
          <w:bottom w:val="single" w:sz="4" w:space="1" w:color="auto"/>
        </w:pBdr>
        <w:rPr>
          <w:lang w:val="en-NZ"/>
        </w:rPr>
      </w:pPr>
      <w:r>
        <w:rPr>
          <w:lang w:val="en-NZ"/>
        </w:rPr>
        <w:t>That the submission be declined.</w:t>
      </w:r>
    </w:p>
    <w:p w:rsidR="00CC52F6" w:rsidRPr="00DB4CC5" w:rsidRDefault="00CC52F6" w:rsidP="00CC52F6">
      <w:pPr>
        <w:pBdr>
          <w:bottom w:val="single" w:sz="4" w:space="1" w:color="auto"/>
        </w:pBdr>
        <w:rPr>
          <w:lang w:val="en-NZ"/>
        </w:rPr>
      </w:pPr>
    </w:p>
    <w:p w:rsidR="00CC52F6" w:rsidRDefault="00CC52F6" w:rsidP="0021448C"/>
    <w:p w:rsidR="0021448C" w:rsidRPr="0021448C" w:rsidRDefault="0021448C" w:rsidP="0021448C"/>
    <w:p w:rsidR="00CC52F6" w:rsidRPr="00DB4CC5" w:rsidRDefault="00CC52F6" w:rsidP="00CC52F6">
      <w:pPr>
        <w:pStyle w:val="Heading5"/>
        <w:ind w:left="794" w:hanging="794"/>
        <w:rPr>
          <w:lang w:val="en-NZ"/>
        </w:rPr>
      </w:pPr>
      <w:bookmarkStart w:id="95" w:name="_Toc432411983"/>
      <w:r w:rsidRPr="00DB4CC5">
        <w:rPr>
          <w:lang w:val="en-NZ"/>
        </w:rPr>
        <w:t>Issue:</w:t>
      </w:r>
      <w:r w:rsidRPr="00DB4CC5">
        <w:rPr>
          <w:lang w:val="en-NZ"/>
        </w:rPr>
        <w:tab/>
      </w:r>
      <w:r>
        <w:rPr>
          <w:lang w:val="en-NZ"/>
        </w:rPr>
        <w:t>Clarifying which trustee derives income</w:t>
      </w:r>
      <w:bookmarkEnd w:id="95"/>
    </w:p>
    <w:p w:rsidR="00CC52F6" w:rsidRPr="00DB4CC5" w:rsidRDefault="00CC52F6" w:rsidP="00CC52F6">
      <w:pPr>
        <w:rPr>
          <w:lang w:val="en-NZ"/>
        </w:rPr>
      </w:pPr>
    </w:p>
    <w:p w:rsidR="00CC52F6" w:rsidRPr="00DB4CC5" w:rsidRDefault="00CC52F6" w:rsidP="00CC52F6">
      <w:pPr>
        <w:rPr>
          <w:lang w:val="en-NZ"/>
        </w:rPr>
      </w:pPr>
    </w:p>
    <w:p w:rsidR="00CC52F6" w:rsidRPr="00DB4CC5" w:rsidRDefault="00CC52F6" w:rsidP="00CC52F6">
      <w:pPr>
        <w:pStyle w:val="Heading2"/>
        <w:rPr>
          <w:lang w:val="en-NZ"/>
        </w:rPr>
      </w:pPr>
      <w:r w:rsidRPr="00DB4CC5">
        <w:rPr>
          <w:lang w:val="en-NZ"/>
        </w:rPr>
        <w:t>Submission</w:t>
      </w:r>
    </w:p>
    <w:p w:rsidR="00CC52F6" w:rsidRPr="00DB4CC5" w:rsidRDefault="00CC52F6" w:rsidP="00CC52F6">
      <w:pPr>
        <w:pStyle w:val="Heading4"/>
        <w:rPr>
          <w:lang w:val="en-NZ"/>
        </w:rPr>
      </w:pPr>
      <w:r>
        <w:rPr>
          <w:lang w:val="en-NZ"/>
        </w:rPr>
        <w:t>(</w:t>
      </w:r>
      <w:proofErr w:type="spellStart"/>
      <w:proofErr w:type="gramStart"/>
      <w:r>
        <w:rPr>
          <w:lang w:val="en-NZ"/>
        </w:rPr>
        <w:t>nsaTax</w:t>
      </w:r>
      <w:proofErr w:type="spellEnd"/>
      <w:proofErr w:type="gramEnd"/>
      <w:r>
        <w:rPr>
          <w:lang w:val="en-NZ"/>
        </w:rPr>
        <w:t>)</w:t>
      </w:r>
    </w:p>
    <w:p w:rsidR="00CC52F6" w:rsidRDefault="00CC52F6" w:rsidP="00CC52F6">
      <w:pPr>
        <w:tabs>
          <w:tab w:val="left" w:pos="5295"/>
        </w:tabs>
        <w:rPr>
          <w:lang w:val="en-NZ"/>
        </w:rPr>
      </w:pPr>
    </w:p>
    <w:p w:rsidR="00CC52F6" w:rsidRDefault="00B07C37" w:rsidP="00CC52F6">
      <w:pPr>
        <w:tabs>
          <w:tab w:val="left" w:pos="5295"/>
        </w:tabs>
        <w:rPr>
          <w:lang w:val="en-NZ"/>
        </w:rPr>
      </w:pPr>
      <w:r>
        <w:rPr>
          <w:lang w:val="en-NZ"/>
        </w:rPr>
        <w:t>P</w:t>
      </w:r>
      <w:r w:rsidR="00CC52F6">
        <w:rPr>
          <w:lang w:val="en-NZ"/>
        </w:rPr>
        <w:t xml:space="preserve">roposed section GB 53 </w:t>
      </w:r>
      <w:r>
        <w:rPr>
          <w:lang w:val="en-NZ"/>
        </w:rPr>
        <w:t>should</w:t>
      </w:r>
      <w:r w:rsidR="00CC52F6">
        <w:rPr>
          <w:lang w:val="en-NZ"/>
        </w:rPr>
        <w:t xml:space="preserve"> be modified to clarify which trustees are liable for any tax liability resulting from the application of the section.</w:t>
      </w:r>
    </w:p>
    <w:p w:rsidR="00CC52F6" w:rsidRPr="00DB4CC5" w:rsidRDefault="00CC52F6" w:rsidP="00CC52F6">
      <w:pPr>
        <w:rPr>
          <w:lang w:val="en-NZ"/>
        </w:rPr>
      </w:pPr>
    </w:p>
    <w:p w:rsidR="00CC52F6" w:rsidRPr="00DB4CC5" w:rsidRDefault="00CC52F6" w:rsidP="00CC52F6">
      <w:pPr>
        <w:pStyle w:val="Heading2"/>
        <w:rPr>
          <w:lang w:val="en-NZ"/>
        </w:rPr>
      </w:pPr>
      <w:r w:rsidRPr="00DB4CC5">
        <w:rPr>
          <w:lang w:val="en-NZ"/>
        </w:rPr>
        <w:t>Comment</w:t>
      </w:r>
    </w:p>
    <w:p w:rsidR="00CC52F6" w:rsidRDefault="00CC52F6" w:rsidP="00CC52F6">
      <w:pPr>
        <w:rPr>
          <w:lang w:val="en-NZ"/>
        </w:rPr>
      </w:pPr>
    </w:p>
    <w:p w:rsidR="00CC52F6" w:rsidRDefault="0020455C" w:rsidP="00CC52F6">
      <w:pPr>
        <w:rPr>
          <w:lang w:val="en-NZ"/>
        </w:rPr>
      </w:pPr>
      <w:r>
        <w:rPr>
          <w:lang w:val="en-NZ"/>
        </w:rPr>
        <w:t>Where there are two or more trustees of a trust,</w:t>
      </w:r>
      <w:r w:rsidR="00B07C37">
        <w:rPr>
          <w:lang w:val="en-NZ"/>
        </w:rPr>
        <w:t xml:space="preserve"> section</w:t>
      </w:r>
      <w:r>
        <w:rPr>
          <w:lang w:val="en-NZ"/>
        </w:rPr>
        <w:t xml:space="preserve"> HC 2 treats them as if they were a notional single person and they are jointly and severally liable to satisfy the income tax liability of the trust.</w:t>
      </w:r>
    </w:p>
    <w:p w:rsidR="0020455C" w:rsidRPr="00DB4CC5" w:rsidRDefault="0020455C" w:rsidP="00CC52F6">
      <w:pPr>
        <w:rPr>
          <w:lang w:val="en-NZ"/>
        </w:rPr>
      </w:pPr>
    </w:p>
    <w:p w:rsidR="00CC52F6" w:rsidRPr="00DB4CC5" w:rsidRDefault="00CC52F6" w:rsidP="00CC52F6">
      <w:pPr>
        <w:pStyle w:val="Heading2"/>
        <w:rPr>
          <w:lang w:val="en-NZ"/>
        </w:rPr>
      </w:pPr>
      <w:r w:rsidRPr="00DB4CC5">
        <w:rPr>
          <w:lang w:val="en-NZ"/>
        </w:rPr>
        <w:t>Recommendation</w:t>
      </w:r>
    </w:p>
    <w:p w:rsidR="00CC52F6" w:rsidRDefault="00CC52F6" w:rsidP="00CC52F6">
      <w:pPr>
        <w:pBdr>
          <w:bottom w:val="single" w:sz="4" w:space="1" w:color="auto"/>
        </w:pBdr>
        <w:rPr>
          <w:lang w:val="en-NZ"/>
        </w:rPr>
      </w:pPr>
    </w:p>
    <w:p w:rsidR="0040292F" w:rsidRDefault="00CC52F6" w:rsidP="00CC52F6">
      <w:pPr>
        <w:pBdr>
          <w:bottom w:val="single" w:sz="4" w:space="1" w:color="auto"/>
        </w:pBdr>
        <w:rPr>
          <w:lang w:val="en-NZ"/>
        </w:rPr>
      </w:pPr>
      <w:r>
        <w:rPr>
          <w:lang w:val="en-NZ"/>
        </w:rPr>
        <w:t>That the submission be declined.</w:t>
      </w:r>
    </w:p>
    <w:p w:rsidR="00B07C37" w:rsidRDefault="00B07C37" w:rsidP="00CC52F6">
      <w:pPr>
        <w:pBdr>
          <w:bottom w:val="single" w:sz="4" w:space="1" w:color="auto"/>
        </w:pBdr>
        <w:rPr>
          <w:lang w:val="en-NZ"/>
        </w:rPr>
      </w:pPr>
    </w:p>
    <w:p w:rsidR="0040292F" w:rsidRDefault="0040292F">
      <w:pPr>
        <w:jc w:val="left"/>
        <w:rPr>
          <w:lang w:val="en-NZ"/>
        </w:rPr>
      </w:pPr>
      <w:r>
        <w:rPr>
          <w:lang w:val="en-NZ"/>
        </w:rPr>
        <w:br w:type="page"/>
      </w:r>
    </w:p>
    <w:p w:rsidR="0040292F" w:rsidRPr="00DB4CC5" w:rsidRDefault="0040292F" w:rsidP="0040292F">
      <w:pPr>
        <w:pStyle w:val="Heading1"/>
      </w:pPr>
      <w:bookmarkStart w:id="96" w:name="_Toc432411984"/>
      <w:r>
        <w:t>Application date</w:t>
      </w:r>
      <w:bookmarkEnd w:id="96"/>
    </w:p>
    <w:p w:rsidR="0040292F" w:rsidRPr="00DB4CC5" w:rsidRDefault="0040292F" w:rsidP="0040292F">
      <w:pPr>
        <w:rPr>
          <w:lang w:val="en-NZ"/>
        </w:rPr>
      </w:pPr>
    </w:p>
    <w:p w:rsidR="0040292F" w:rsidRDefault="0040292F" w:rsidP="0040292F">
      <w:pPr>
        <w:pStyle w:val="Heading3"/>
        <w:rPr>
          <w:lang w:val="en-NZ"/>
        </w:rPr>
      </w:pPr>
      <w:r>
        <w:rPr>
          <w:lang w:val="en-NZ"/>
        </w:rPr>
        <w:t>Clause</w:t>
      </w:r>
      <w:r w:rsidR="00B07C37">
        <w:rPr>
          <w:lang w:val="en-NZ"/>
        </w:rPr>
        <w:t xml:space="preserve">s 4 to </w:t>
      </w:r>
      <w:r>
        <w:rPr>
          <w:lang w:val="en-NZ"/>
        </w:rPr>
        <w:t>13</w:t>
      </w:r>
    </w:p>
    <w:p w:rsidR="0040292F" w:rsidRDefault="0040292F" w:rsidP="0040292F">
      <w:pPr>
        <w:rPr>
          <w:lang w:val="en-NZ"/>
        </w:rPr>
      </w:pPr>
    </w:p>
    <w:p w:rsidR="0040292F" w:rsidRDefault="0040292F" w:rsidP="0040292F">
      <w:pPr>
        <w:rPr>
          <w:lang w:val="en-NZ"/>
        </w:rPr>
      </w:pPr>
    </w:p>
    <w:p w:rsidR="0040292F" w:rsidRPr="00DB4CC5" w:rsidRDefault="0040292F" w:rsidP="0040292F">
      <w:pPr>
        <w:pStyle w:val="Heading5"/>
        <w:ind w:left="794" w:hanging="794"/>
        <w:rPr>
          <w:lang w:val="en-NZ"/>
        </w:rPr>
      </w:pPr>
      <w:bookmarkStart w:id="97" w:name="_Toc432411985"/>
      <w:r w:rsidRPr="00DB4CC5">
        <w:rPr>
          <w:lang w:val="en-NZ"/>
        </w:rPr>
        <w:t>Issue:</w:t>
      </w:r>
      <w:r w:rsidRPr="00DB4CC5">
        <w:rPr>
          <w:lang w:val="en-NZ"/>
        </w:rPr>
        <w:tab/>
      </w:r>
      <w:r>
        <w:rPr>
          <w:lang w:val="en-NZ"/>
        </w:rPr>
        <w:t>Clarification on rules for application date</w:t>
      </w:r>
      <w:bookmarkEnd w:id="97"/>
    </w:p>
    <w:p w:rsidR="0040292F" w:rsidRPr="00DB4CC5" w:rsidRDefault="0040292F" w:rsidP="0040292F">
      <w:pPr>
        <w:rPr>
          <w:lang w:val="en-NZ"/>
        </w:rPr>
      </w:pPr>
    </w:p>
    <w:p w:rsidR="0040292F" w:rsidRPr="00DB4CC5" w:rsidRDefault="0040292F" w:rsidP="0040292F">
      <w:pPr>
        <w:pStyle w:val="Heading2"/>
        <w:rPr>
          <w:lang w:val="en-NZ"/>
        </w:rPr>
      </w:pPr>
      <w:r w:rsidRPr="00DB4CC5">
        <w:rPr>
          <w:lang w:val="en-NZ"/>
        </w:rPr>
        <w:t>Submission</w:t>
      </w:r>
    </w:p>
    <w:p w:rsidR="0040292F" w:rsidRPr="00DB4CC5" w:rsidRDefault="0040292F" w:rsidP="0040292F">
      <w:pPr>
        <w:pStyle w:val="Heading4"/>
        <w:rPr>
          <w:lang w:val="en-NZ"/>
        </w:rPr>
      </w:pPr>
      <w:r>
        <w:rPr>
          <w:lang w:val="en-NZ"/>
        </w:rPr>
        <w:t>(EY)</w:t>
      </w:r>
    </w:p>
    <w:p w:rsidR="0040292F" w:rsidRPr="00DB4CC5" w:rsidRDefault="0040292F" w:rsidP="0040292F">
      <w:pPr>
        <w:tabs>
          <w:tab w:val="left" w:pos="5295"/>
        </w:tabs>
        <w:rPr>
          <w:lang w:val="en-NZ"/>
        </w:rPr>
      </w:pPr>
    </w:p>
    <w:p w:rsidR="0040292F" w:rsidRDefault="0040292F" w:rsidP="0040292F">
      <w:pPr>
        <w:rPr>
          <w:lang w:val="en-NZ"/>
        </w:rPr>
      </w:pPr>
      <w:r>
        <w:rPr>
          <w:lang w:val="en-NZ"/>
        </w:rPr>
        <w:t>The application clauses refer to the date a person “first acquires an estate or interest”</w:t>
      </w:r>
      <w:r w:rsidR="00F16E3E">
        <w:rPr>
          <w:lang w:val="en-NZ"/>
        </w:rPr>
        <w:t>.  T</w:t>
      </w:r>
      <w:r>
        <w:rPr>
          <w:lang w:val="en-NZ"/>
        </w:rPr>
        <w:t>his appears to be intended to be the same as that in</w:t>
      </w:r>
      <w:r w:rsidR="00B07C37">
        <w:rPr>
          <w:lang w:val="en-NZ"/>
        </w:rPr>
        <w:t xml:space="preserve"> section</w:t>
      </w:r>
      <w:r>
        <w:rPr>
          <w:lang w:val="en-NZ"/>
        </w:rPr>
        <w:t xml:space="preserve"> CB 15B.</w:t>
      </w:r>
    </w:p>
    <w:p w:rsidR="0040292F" w:rsidRDefault="0040292F" w:rsidP="0040292F">
      <w:pPr>
        <w:rPr>
          <w:lang w:val="en-NZ"/>
        </w:rPr>
      </w:pPr>
    </w:p>
    <w:p w:rsidR="0040292F" w:rsidRDefault="00B07C37" w:rsidP="0040292F">
      <w:pPr>
        <w:rPr>
          <w:lang w:val="en-NZ"/>
        </w:rPr>
      </w:pPr>
      <w:r>
        <w:rPr>
          <w:lang w:val="en-NZ"/>
        </w:rPr>
        <w:t xml:space="preserve">Section </w:t>
      </w:r>
      <w:r w:rsidR="0040292F">
        <w:rPr>
          <w:lang w:val="en-NZ"/>
        </w:rPr>
        <w:t>CB 15B expressly does not apply to section CB 6A</w:t>
      </w:r>
      <w:r w:rsidR="00F16E3E">
        <w:rPr>
          <w:lang w:val="en-NZ"/>
        </w:rPr>
        <w:t>.  T</w:t>
      </w:r>
      <w:r w:rsidR="0040292F">
        <w:rPr>
          <w:lang w:val="en-NZ"/>
        </w:rPr>
        <w:t xml:space="preserve">his should instead refer to section CB </w:t>
      </w:r>
      <w:proofErr w:type="gramStart"/>
      <w:r w:rsidR="0040292F">
        <w:rPr>
          <w:lang w:val="en-NZ"/>
        </w:rPr>
        <w:t>6A(</w:t>
      </w:r>
      <w:proofErr w:type="gramEnd"/>
      <w:r w:rsidR="0040292F">
        <w:rPr>
          <w:lang w:val="en-NZ"/>
        </w:rPr>
        <w:t>1) to remove uncertainty.</w:t>
      </w:r>
    </w:p>
    <w:p w:rsidR="0040292F" w:rsidRDefault="0040292F" w:rsidP="0040292F">
      <w:pPr>
        <w:rPr>
          <w:lang w:val="en-NZ"/>
        </w:rPr>
      </w:pPr>
    </w:p>
    <w:p w:rsidR="0040292F" w:rsidRDefault="00B07C37" w:rsidP="0040292F">
      <w:pPr>
        <w:rPr>
          <w:lang w:val="en-NZ"/>
        </w:rPr>
      </w:pPr>
      <w:r>
        <w:rPr>
          <w:lang w:val="en-NZ"/>
        </w:rPr>
        <w:t>The c</w:t>
      </w:r>
      <w:r w:rsidR="0040292F">
        <w:rPr>
          <w:lang w:val="en-NZ"/>
        </w:rPr>
        <w:t>ommentary</w:t>
      </w:r>
      <w:r>
        <w:rPr>
          <w:lang w:val="en-NZ"/>
        </w:rPr>
        <w:t xml:space="preserve"> to the bill</w:t>
      </w:r>
      <w:r w:rsidR="0040292F">
        <w:rPr>
          <w:lang w:val="en-NZ"/>
        </w:rPr>
        <w:t xml:space="preserve"> states that the application date for the bright-line rule is for sales where registration is after 1 October 2015</w:t>
      </w:r>
      <w:r>
        <w:rPr>
          <w:lang w:val="en-NZ"/>
        </w:rPr>
        <w:t>,</w:t>
      </w:r>
      <w:r w:rsidR="0040292F">
        <w:rPr>
          <w:lang w:val="en-NZ"/>
        </w:rPr>
        <w:t xml:space="preserve"> when the land is acquired other than by sale</w:t>
      </w:r>
      <w:r w:rsidR="00F16E3E">
        <w:rPr>
          <w:lang w:val="en-NZ"/>
        </w:rPr>
        <w:t>.  T</w:t>
      </w:r>
      <w:r w:rsidR="0040292F">
        <w:rPr>
          <w:lang w:val="en-NZ"/>
        </w:rPr>
        <w:t>here is no statutory provision to this effect and</w:t>
      </w:r>
      <w:r>
        <w:rPr>
          <w:lang w:val="en-NZ"/>
        </w:rPr>
        <w:t xml:space="preserve"> it</w:t>
      </w:r>
      <w:r w:rsidR="0040292F">
        <w:rPr>
          <w:lang w:val="en-NZ"/>
        </w:rPr>
        <w:t xml:space="preserve"> does not necessarily accord with s</w:t>
      </w:r>
      <w:r>
        <w:rPr>
          <w:lang w:val="en-NZ"/>
        </w:rPr>
        <w:t>ection</w:t>
      </w:r>
      <w:r w:rsidR="0040292F">
        <w:rPr>
          <w:lang w:val="en-NZ"/>
        </w:rPr>
        <w:t xml:space="preserve"> CB 15B.</w:t>
      </w:r>
    </w:p>
    <w:p w:rsidR="0040292F" w:rsidRPr="00DB4CC5" w:rsidRDefault="0040292F" w:rsidP="0040292F">
      <w:pPr>
        <w:rPr>
          <w:lang w:val="en-NZ"/>
        </w:rPr>
      </w:pPr>
    </w:p>
    <w:p w:rsidR="0040292F" w:rsidRPr="00DB4CC5" w:rsidRDefault="0040292F" w:rsidP="0040292F">
      <w:pPr>
        <w:pStyle w:val="Heading2"/>
        <w:rPr>
          <w:lang w:val="en-NZ"/>
        </w:rPr>
      </w:pPr>
      <w:r w:rsidRPr="00DB4CC5">
        <w:rPr>
          <w:lang w:val="en-NZ"/>
        </w:rPr>
        <w:t>Comment</w:t>
      </w:r>
    </w:p>
    <w:p w:rsidR="0040292F" w:rsidRPr="00DB4CC5" w:rsidRDefault="0040292F" w:rsidP="0040292F">
      <w:pPr>
        <w:rPr>
          <w:lang w:val="en-NZ"/>
        </w:rPr>
      </w:pPr>
    </w:p>
    <w:p w:rsidR="0040292F" w:rsidRPr="009B557D" w:rsidRDefault="00B07C37" w:rsidP="0040292F">
      <w:pPr>
        <w:rPr>
          <w:lang w:val="en-NZ"/>
        </w:rPr>
      </w:pPr>
      <w:r>
        <w:rPr>
          <w:lang w:val="en-NZ"/>
        </w:rPr>
        <w:t xml:space="preserve">Section </w:t>
      </w:r>
      <w:r w:rsidR="0040292F" w:rsidRPr="009B557D">
        <w:rPr>
          <w:lang w:val="en-NZ"/>
        </w:rPr>
        <w:t xml:space="preserve">CB 15B is a substantive provision </w:t>
      </w:r>
      <w:r>
        <w:rPr>
          <w:lang w:val="en-NZ"/>
        </w:rPr>
        <w:t>that</w:t>
      </w:r>
      <w:r w:rsidR="0040292F" w:rsidRPr="009B557D">
        <w:rPr>
          <w:lang w:val="en-NZ"/>
        </w:rPr>
        <w:t xml:space="preserve"> has no impact on the application date</w:t>
      </w:r>
      <w:r w:rsidR="00F16E3E">
        <w:rPr>
          <w:lang w:val="en-NZ"/>
        </w:rPr>
        <w:t>.  W</w:t>
      </w:r>
      <w:r w:rsidR="0040292F" w:rsidRPr="009B557D">
        <w:rPr>
          <w:lang w:val="en-NZ"/>
        </w:rPr>
        <w:t>e therefore do not consider that amending</w:t>
      </w:r>
      <w:r>
        <w:rPr>
          <w:lang w:val="en-NZ"/>
        </w:rPr>
        <w:t xml:space="preserve"> section</w:t>
      </w:r>
      <w:r w:rsidR="0040292F" w:rsidRPr="009B557D">
        <w:rPr>
          <w:lang w:val="en-NZ"/>
        </w:rPr>
        <w:t xml:space="preserve"> CB 15B would have any effect on the proposed application date.</w:t>
      </w:r>
    </w:p>
    <w:p w:rsidR="0040292F" w:rsidRPr="009B557D" w:rsidRDefault="0040292F" w:rsidP="0040292F">
      <w:pPr>
        <w:rPr>
          <w:lang w:val="en-NZ"/>
        </w:rPr>
      </w:pPr>
    </w:p>
    <w:p w:rsidR="0040292F" w:rsidRPr="009B557D" w:rsidRDefault="0040292F" w:rsidP="0040292F">
      <w:pPr>
        <w:rPr>
          <w:lang w:val="en-NZ"/>
        </w:rPr>
      </w:pPr>
      <w:r w:rsidRPr="009B557D">
        <w:rPr>
          <w:lang w:val="en-NZ"/>
        </w:rPr>
        <w:t>When land is acquired other than by sale, generally, the first estate or interest the person acquires will be acquired on the date of registration of title for the land</w:t>
      </w:r>
      <w:r w:rsidR="00F16E3E">
        <w:rPr>
          <w:lang w:val="en-NZ"/>
        </w:rPr>
        <w:t>.  A</w:t>
      </w:r>
      <w:r w:rsidRPr="009B557D">
        <w:rPr>
          <w:lang w:val="en-NZ"/>
        </w:rPr>
        <w:t>s a result, in most cases where land is acquired other than by sale</w:t>
      </w:r>
      <w:r w:rsidR="00B07C37">
        <w:rPr>
          <w:lang w:val="en-NZ"/>
        </w:rPr>
        <w:t>,</w:t>
      </w:r>
      <w:r w:rsidRPr="009B557D">
        <w:rPr>
          <w:lang w:val="en-NZ"/>
        </w:rPr>
        <w:t xml:space="preserve"> the bright-line will apply if registration of title is on or after 1 October 2015 (and it meets the other requirements of the bright-line test).</w:t>
      </w:r>
    </w:p>
    <w:p w:rsidR="0040292F" w:rsidRPr="009B557D" w:rsidRDefault="0040292F" w:rsidP="0040292F">
      <w:pPr>
        <w:rPr>
          <w:lang w:val="en-NZ"/>
        </w:rPr>
      </w:pPr>
    </w:p>
    <w:p w:rsidR="0040292F" w:rsidRPr="009B557D" w:rsidRDefault="0040292F" w:rsidP="0040292F">
      <w:pPr>
        <w:rPr>
          <w:lang w:val="en-NZ"/>
        </w:rPr>
      </w:pPr>
      <w:r w:rsidRPr="009B557D">
        <w:rPr>
          <w:lang w:val="en-NZ"/>
        </w:rPr>
        <w:t>As the submitter has noted, this may not always be the case</w:t>
      </w:r>
      <w:r w:rsidR="00F16E3E">
        <w:rPr>
          <w:lang w:val="en-NZ"/>
        </w:rPr>
        <w:t>.  W</w:t>
      </w:r>
      <w:r w:rsidRPr="009B557D">
        <w:rPr>
          <w:lang w:val="en-NZ"/>
        </w:rPr>
        <w:t>he</w:t>
      </w:r>
      <w:r w:rsidR="00B07C37">
        <w:rPr>
          <w:lang w:val="en-NZ"/>
        </w:rPr>
        <w:t>n</w:t>
      </w:r>
      <w:r w:rsidRPr="009B557D">
        <w:rPr>
          <w:lang w:val="en-NZ"/>
        </w:rPr>
        <w:t xml:space="preserve"> land is acquired before registration of title, or without there being registration of title, the application date for the bright-line test will be the date they acquire that first interest in the land and not the date of registration of title.</w:t>
      </w:r>
    </w:p>
    <w:p w:rsidR="0040292F" w:rsidRPr="009B557D" w:rsidRDefault="0040292F" w:rsidP="0040292F">
      <w:pPr>
        <w:rPr>
          <w:lang w:val="en-NZ"/>
        </w:rPr>
      </w:pPr>
    </w:p>
    <w:p w:rsidR="0040292F" w:rsidRPr="009B557D" w:rsidRDefault="0040292F" w:rsidP="0040292F">
      <w:pPr>
        <w:rPr>
          <w:lang w:val="en-NZ"/>
        </w:rPr>
      </w:pPr>
      <w:r w:rsidRPr="009B557D">
        <w:rPr>
          <w:lang w:val="en-NZ"/>
        </w:rPr>
        <w:t xml:space="preserve">We will clarify this in the </w:t>
      </w:r>
      <w:r w:rsidRPr="009B557D">
        <w:rPr>
          <w:i/>
          <w:lang w:val="en-NZ"/>
        </w:rPr>
        <w:t>Tax Information Bulletin</w:t>
      </w:r>
      <w:r w:rsidRPr="009B557D">
        <w:rPr>
          <w:lang w:val="en-NZ"/>
        </w:rPr>
        <w:t>.</w:t>
      </w:r>
    </w:p>
    <w:p w:rsidR="0040292F" w:rsidRPr="0079778A" w:rsidRDefault="0040292F" w:rsidP="0040292F">
      <w:pPr>
        <w:rPr>
          <w:lang w:val="en-NZ"/>
        </w:rPr>
      </w:pPr>
    </w:p>
    <w:p w:rsidR="0040292F" w:rsidRPr="0079778A" w:rsidRDefault="0040292F" w:rsidP="0040292F">
      <w:pPr>
        <w:pStyle w:val="Heading2"/>
        <w:rPr>
          <w:lang w:val="en-NZ"/>
        </w:rPr>
      </w:pPr>
      <w:r w:rsidRPr="0079778A">
        <w:rPr>
          <w:lang w:val="en-NZ"/>
        </w:rPr>
        <w:t>Recommendation</w:t>
      </w:r>
    </w:p>
    <w:p w:rsidR="0040292F" w:rsidRPr="0079778A" w:rsidRDefault="0040292F" w:rsidP="0040292F">
      <w:pPr>
        <w:rPr>
          <w:lang w:val="en-NZ"/>
        </w:rPr>
      </w:pPr>
    </w:p>
    <w:p w:rsidR="0040292F" w:rsidRPr="0079778A" w:rsidRDefault="0040292F" w:rsidP="009B557D">
      <w:pPr>
        <w:pBdr>
          <w:bottom w:val="single" w:sz="4" w:space="1" w:color="auto"/>
        </w:pBdr>
        <w:rPr>
          <w:lang w:val="en-NZ"/>
        </w:rPr>
      </w:pPr>
      <w:r w:rsidRPr="0079778A">
        <w:rPr>
          <w:lang w:val="en-NZ"/>
        </w:rPr>
        <w:t>That the submission be declined.</w:t>
      </w:r>
    </w:p>
    <w:p w:rsidR="0040292F" w:rsidRPr="00DB4CC5" w:rsidRDefault="0040292F" w:rsidP="0040292F">
      <w:pPr>
        <w:pBdr>
          <w:bottom w:val="single" w:sz="4" w:space="1" w:color="auto"/>
        </w:pBdr>
        <w:rPr>
          <w:lang w:val="en-NZ"/>
        </w:rPr>
      </w:pPr>
    </w:p>
    <w:p w:rsidR="0040292F" w:rsidRPr="00DB4CC5" w:rsidRDefault="0040292F" w:rsidP="0040292F">
      <w:pPr>
        <w:rPr>
          <w:lang w:val="en-NZ"/>
        </w:rPr>
      </w:pPr>
    </w:p>
    <w:p w:rsidR="00E5747E" w:rsidRDefault="00E5747E">
      <w:pPr>
        <w:jc w:val="left"/>
        <w:rPr>
          <w:b/>
          <w:sz w:val="26"/>
          <w:lang w:val="en-NZ"/>
        </w:rPr>
      </w:pPr>
      <w:r>
        <w:rPr>
          <w:lang w:val="en-NZ"/>
        </w:rPr>
        <w:br w:type="page"/>
      </w:r>
    </w:p>
    <w:p w:rsidR="0040292F" w:rsidRPr="00DB4CC5" w:rsidRDefault="0040292F" w:rsidP="0040292F">
      <w:pPr>
        <w:pStyle w:val="Heading5"/>
        <w:ind w:left="794" w:hanging="794"/>
        <w:rPr>
          <w:lang w:val="en-NZ"/>
        </w:rPr>
      </w:pPr>
      <w:bookmarkStart w:id="98" w:name="_Toc432411986"/>
      <w:r w:rsidRPr="00DB4CC5">
        <w:rPr>
          <w:lang w:val="en-NZ"/>
        </w:rPr>
        <w:t>Issue:</w:t>
      </w:r>
      <w:r w:rsidRPr="00DB4CC5">
        <w:rPr>
          <w:lang w:val="en-NZ"/>
        </w:rPr>
        <w:tab/>
      </w:r>
      <w:r>
        <w:rPr>
          <w:lang w:val="en-NZ"/>
        </w:rPr>
        <w:t>Application date for loss</w:t>
      </w:r>
      <w:r w:rsidR="00F16E3E">
        <w:rPr>
          <w:lang w:val="en-NZ"/>
        </w:rPr>
        <w:t xml:space="preserve"> </w:t>
      </w:r>
      <w:r>
        <w:rPr>
          <w:lang w:val="en-NZ"/>
        </w:rPr>
        <w:t>ring</w:t>
      </w:r>
      <w:r w:rsidR="00F16E3E">
        <w:rPr>
          <w:lang w:val="en-NZ"/>
        </w:rPr>
        <w:t>-</w:t>
      </w:r>
      <w:r>
        <w:rPr>
          <w:lang w:val="en-NZ"/>
        </w:rPr>
        <w:t>fencing</w:t>
      </w:r>
      <w:bookmarkEnd w:id="98"/>
    </w:p>
    <w:p w:rsidR="0040292F" w:rsidRPr="00DB4CC5" w:rsidRDefault="0040292F" w:rsidP="0040292F">
      <w:pPr>
        <w:rPr>
          <w:lang w:val="en-NZ"/>
        </w:rPr>
      </w:pPr>
    </w:p>
    <w:p w:rsidR="0040292F" w:rsidRPr="00DB4CC5" w:rsidRDefault="0040292F" w:rsidP="0040292F">
      <w:pPr>
        <w:rPr>
          <w:lang w:val="en-NZ"/>
        </w:rPr>
      </w:pPr>
    </w:p>
    <w:p w:rsidR="0040292F" w:rsidRPr="00DB4CC5" w:rsidRDefault="0040292F" w:rsidP="0040292F">
      <w:pPr>
        <w:pStyle w:val="Heading2"/>
        <w:rPr>
          <w:lang w:val="en-NZ"/>
        </w:rPr>
      </w:pPr>
      <w:r w:rsidRPr="00DB4CC5">
        <w:rPr>
          <w:lang w:val="en-NZ"/>
        </w:rPr>
        <w:t>Submission</w:t>
      </w:r>
    </w:p>
    <w:p w:rsidR="0040292F" w:rsidRPr="00DB4CC5" w:rsidRDefault="0040292F" w:rsidP="0040292F">
      <w:pPr>
        <w:pStyle w:val="Heading4"/>
        <w:rPr>
          <w:lang w:val="en-NZ"/>
        </w:rPr>
      </w:pPr>
      <w:r>
        <w:rPr>
          <w:lang w:val="en-NZ"/>
        </w:rPr>
        <w:t>(New Zealand Law Society)</w:t>
      </w:r>
    </w:p>
    <w:p w:rsidR="0040292F" w:rsidRPr="00DB4CC5" w:rsidRDefault="0040292F" w:rsidP="0040292F">
      <w:pPr>
        <w:tabs>
          <w:tab w:val="left" w:pos="5295"/>
        </w:tabs>
        <w:rPr>
          <w:lang w:val="en-NZ"/>
        </w:rPr>
      </w:pPr>
    </w:p>
    <w:p w:rsidR="0040292F" w:rsidRPr="00DB4CC5" w:rsidRDefault="0040292F" w:rsidP="0040292F">
      <w:pPr>
        <w:rPr>
          <w:lang w:val="en-NZ"/>
        </w:rPr>
      </w:pPr>
      <w:r>
        <w:rPr>
          <w:lang w:val="en-NZ"/>
        </w:rPr>
        <w:t>The application date for the loss ring-fencing rules is r</w:t>
      </w:r>
      <w:r w:rsidR="005D15DA">
        <w:rPr>
          <w:lang w:val="en-NZ"/>
        </w:rPr>
        <w:t>esidential land acquired “</w:t>
      </w:r>
      <w:r w:rsidR="005D15DA" w:rsidRPr="005D15DA">
        <w:t>after</w:t>
      </w:r>
      <w:r w:rsidR="00903D08">
        <w:t xml:space="preserve"> </w:t>
      </w:r>
      <w:r w:rsidRPr="005D15DA">
        <w:t>1</w:t>
      </w:r>
      <w:r w:rsidR="00194DFB">
        <w:t> </w:t>
      </w:r>
      <w:r>
        <w:rPr>
          <w:lang w:val="en-NZ"/>
        </w:rPr>
        <w:t>October 2015”</w:t>
      </w:r>
      <w:r w:rsidR="00F16E3E">
        <w:rPr>
          <w:lang w:val="en-NZ"/>
        </w:rPr>
        <w:t>.  T</w:t>
      </w:r>
      <w:r>
        <w:rPr>
          <w:lang w:val="en-NZ"/>
        </w:rPr>
        <w:t>his should be “on or after 1 October 2015”</w:t>
      </w:r>
      <w:r w:rsidR="00D90858">
        <w:rPr>
          <w:lang w:val="en-NZ"/>
        </w:rPr>
        <w:t>.</w:t>
      </w:r>
    </w:p>
    <w:p w:rsidR="0040292F" w:rsidRDefault="0040292F" w:rsidP="0040292F">
      <w:pPr>
        <w:rPr>
          <w:lang w:val="en-NZ"/>
        </w:rPr>
      </w:pPr>
    </w:p>
    <w:p w:rsidR="0040292F" w:rsidRDefault="0040292F" w:rsidP="0040292F">
      <w:pPr>
        <w:rPr>
          <w:b/>
          <w:lang w:val="en-NZ"/>
        </w:rPr>
      </w:pPr>
      <w:r>
        <w:rPr>
          <w:b/>
          <w:lang w:val="en-NZ"/>
        </w:rPr>
        <w:t>Comment</w:t>
      </w:r>
    </w:p>
    <w:p w:rsidR="0040292F" w:rsidRDefault="0040292F" w:rsidP="0040292F">
      <w:pPr>
        <w:rPr>
          <w:b/>
          <w:lang w:val="en-NZ"/>
        </w:rPr>
      </w:pPr>
    </w:p>
    <w:p w:rsidR="0040292F" w:rsidRPr="003D5967" w:rsidRDefault="0040292F" w:rsidP="0040292F">
      <w:pPr>
        <w:rPr>
          <w:lang w:val="en-NZ"/>
        </w:rPr>
      </w:pPr>
      <w:r>
        <w:rPr>
          <w:lang w:val="en-NZ"/>
        </w:rPr>
        <w:t>Officials agree with the submission.</w:t>
      </w:r>
    </w:p>
    <w:p w:rsidR="0040292F" w:rsidRPr="00DB4CC5" w:rsidRDefault="0040292F" w:rsidP="0040292F">
      <w:pPr>
        <w:rPr>
          <w:lang w:val="en-NZ"/>
        </w:rPr>
      </w:pPr>
    </w:p>
    <w:p w:rsidR="0040292F" w:rsidRPr="00DB4CC5" w:rsidRDefault="0040292F" w:rsidP="0040292F">
      <w:pPr>
        <w:pStyle w:val="Heading2"/>
        <w:rPr>
          <w:lang w:val="en-NZ"/>
        </w:rPr>
      </w:pPr>
      <w:r w:rsidRPr="00DB4CC5">
        <w:rPr>
          <w:lang w:val="en-NZ"/>
        </w:rPr>
        <w:t>Recommendation</w:t>
      </w:r>
    </w:p>
    <w:p w:rsidR="0040292F" w:rsidRDefault="0040292F" w:rsidP="0040292F">
      <w:pPr>
        <w:pBdr>
          <w:bottom w:val="single" w:sz="4" w:space="1" w:color="auto"/>
        </w:pBdr>
        <w:rPr>
          <w:lang w:val="en-NZ"/>
        </w:rPr>
      </w:pPr>
    </w:p>
    <w:p w:rsidR="0040292F" w:rsidRDefault="0040292F" w:rsidP="0040292F">
      <w:pPr>
        <w:pBdr>
          <w:bottom w:val="single" w:sz="4" w:space="1" w:color="auto"/>
        </w:pBdr>
        <w:rPr>
          <w:lang w:val="en-NZ"/>
        </w:rPr>
      </w:pPr>
      <w:r>
        <w:rPr>
          <w:lang w:val="en-NZ"/>
        </w:rPr>
        <w:t>That the submission be accepted</w:t>
      </w:r>
      <w:r w:rsidR="00D90858">
        <w:rPr>
          <w:lang w:val="en-NZ"/>
        </w:rPr>
        <w:t>.</w:t>
      </w:r>
    </w:p>
    <w:p w:rsidR="0040292F" w:rsidRDefault="0040292F" w:rsidP="0040292F">
      <w:pPr>
        <w:pBdr>
          <w:bottom w:val="single" w:sz="4" w:space="1" w:color="auto"/>
        </w:pBdr>
        <w:rPr>
          <w:lang w:val="en-NZ"/>
        </w:rPr>
      </w:pPr>
    </w:p>
    <w:p w:rsidR="00BD2E7B" w:rsidRDefault="00BD2E7B" w:rsidP="0021448C"/>
    <w:p w:rsidR="0021448C" w:rsidRPr="0021448C" w:rsidRDefault="0021448C" w:rsidP="0021448C"/>
    <w:p w:rsidR="00BD2E7B" w:rsidRPr="0079778A" w:rsidRDefault="00BD2E7B" w:rsidP="00BD2E7B">
      <w:pPr>
        <w:pStyle w:val="Heading5"/>
        <w:ind w:left="794" w:hanging="794"/>
        <w:rPr>
          <w:lang w:val="en-NZ"/>
        </w:rPr>
      </w:pPr>
      <w:bookmarkStart w:id="99" w:name="_Toc432411987"/>
      <w:r w:rsidRPr="0079778A">
        <w:rPr>
          <w:lang w:val="en-NZ"/>
        </w:rPr>
        <w:t>Issue:</w:t>
      </w:r>
      <w:r w:rsidRPr="0079778A">
        <w:rPr>
          <w:lang w:val="en-NZ"/>
        </w:rPr>
        <w:tab/>
        <w:t>Application date for anti-avoidance provisions</w:t>
      </w:r>
      <w:bookmarkEnd w:id="99"/>
    </w:p>
    <w:p w:rsidR="00BD2E7B" w:rsidRPr="009B557D" w:rsidRDefault="00BD2E7B" w:rsidP="00BD2E7B">
      <w:pPr>
        <w:rPr>
          <w:lang w:val="en-NZ"/>
        </w:rPr>
      </w:pPr>
    </w:p>
    <w:p w:rsidR="00BD2E7B" w:rsidRPr="0079778A" w:rsidRDefault="00BD2E7B" w:rsidP="00BD2E7B">
      <w:pPr>
        <w:rPr>
          <w:lang w:val="en-NZ"/>
        </w:rPr>
      </w:pPr>
    </w:p>
    <w:p w:rsidR="00BD2E7B" w:rsidRPr="0079778A" w:rsidRDefault="00BD2E7B" w:rsidP="00BD2E7B">
      <w:pPr>
        <w:pStyle w:val="Heading2"/>
        <w:rPr>
          <w:lang w:val="en-NZ"/>
        </w:rPr>
      </w:pPr>
      <w:r w:rsidRPr="0079778A">
        <w:rPr>
          <w:lang w:val="en-NZ"/>
        </w:rPr>
        <w:t>Submission</w:t>
      </w:r>
    </w:p>
    <w:p w:rsidR="00BD2E7B" w:rsidRPr="00D90858" w:rsidRDefault="00BD2E7B" w:rsidP="00BD2E7B">
      <w:pPr>
        <w:pStyle w:val="Heading4"/>
        <w:rPr>
          <w:lang w:val="en-NZ"/>
        </w:rPr>
      </w:pPr>
      <w:r w:rsidRPr="00D90858">
        <w:rPr>
          <w:lang w:val="en-NZ"/>
        </w:rPr>
        <w:t>(Matter raised by officials)</w:t>
      </w:r>
    </w:p>
    <w:p w:rsidR="00BD2E7B" w:rsidRPr="0079778A" w:rsidRDefault="00BD2E7B" w:rsidP="00BD2E7B">
      <w:pPr>
        <w:tabs>
          <w:tab w:val="left" w:pos="5295"/>
        </w:tabs>
        <w:rPr>
          <w:lang w:val="en-NZ"/>
        </w:rPr>
      </w:pPr>
    </w:p>
    <w:p w:rsidR="00BD2E7B" w:rsidRPr="0079778A" w:rsidRDefault="00BD2E7B" w:rsidP="00BD2E7B">
      <w:pPr>
        <w:tabs>
          <w:tab w:val="left" w:pos="5295"/>
        </w:tabs>
        <w:rPr>
          <w:lang w:val="en-NZ"/>
        </w:rPr>
      </w:pPr>
      <w:r w:rsidRPr="0079778A">
        <w:rPr>
          <w:lang w:val="en-NZ"/>
        </w:rPr>
        <w:t xml:space="preserve">The current application date of the anti-avoidance provisions </w:t>
      </w:r>
      <w:r w:rsidR="00724ADE" w:rsidRPr="0079778A">
        <w:rPr>
          <w:lang w:val="en-NZ"/>
        </w:rPr>
        <w:t>refers to when a person disposes of residential land</w:t>
      </w:r>
      <w:r w:rsidR="00F16E3E">
        <w:rPr>
          <w:lang w:val="en-NZ"/>
        </w:rPr>
        <w:t>.  H</w:t>
      </w:r>
      <w:r w:rsidR="00724ADE" w:rsidRPr="0079778A">
        <w:rPr>
          <w:lang w:val="en-NZ"/>
        </w:rPr>
        <w:t xml:space="preserve">owever, the anti-avoidance rules apply only in circumstances </w:t>
      </w:r>
      <w:r w:rsidR="00F16E3E" w:rsidRPr="0079778A">
        <w:rPr>
          <w:lang w:val="en-NZ"/>
        </w:rPr>
        <w:t>when</w:t>
      </w:r>
      <w:r w:rsidR="00724ADE" w:rsidRPr="0079778A">
        <w:rPr>
          <w:lang w:val="en-NZ"/>
        </w:rPr>
        <w:t xml:space="preserve"> there has not been a disposal of residential land.</w:t>
      </w:r>
    </w:p>
    <w:p w:rsidR="00BD2E7B" w:rsidRPr="0079778A" w:rsidRDefault="00BD2E7B" w:rsidP="00BD2E7B">
      <w:pPr>
        <w:rPr>
          <w:lang w:val="en-NZ"/>
        </w:rPr>
      </w:pPr>
    </w:p>
    <w:p w:rsidR="00BD2E7B" w:rsidRPr="0079778A" w:rsidRDefault="00BD2E7B" w:rsidP="00BD2E7B">
      <w:pPr>
        <w:pStyle w:val="Heading2"/>
        <w:rPr>
          <w:lang w:val="en-NZ"/>
        </w:rPr>
      </w:pPr>
      <w:r w:rsidRPr="0079778A">
        <w:rPr>
          <w:lang w:val="en-NZ"/>
        </w:rPr>
        <w:t>Comment</w:t>
      </w:r>
    </w:p>
    <w:p w:rsidR="00BD2E7B" w:rsidRPr="0079778A" w:rsidRDefault="00BD2E7B" w:rsidP="00BD2E7B">
      <w:pPr>
        <w:rPr>
          <w:lang w:val="en-NZ"/>
        </w:rPr>
      </w:pPr>
    </w:p>
    <w:p w:rsidR="00BD2E7B" w:rsidRPr="0079778A" w:rsidRDefault="00BD2E7B" w:rsidP="00BD2E7B">
      <w:pPr>
        <w:rPr>
          <w:lang w:val="en-NZ"/>
        </w:rPr>
      </w:pPr>
      <w:r w:rsidRPr="0079778A">
        <w:rPr>
          <w:lang w:val="en-NZ"/>
        </w:rPr>
        <w:t>The application date for the anti-avoidance rule should be changed to 1 October 2015.</w:t>
      </w:r>
    </w:p>
    <w:p w:rsidR="00BD2E7B" w:rsidRPr="0079778A" w:rsidRDefault="00BD2E7B" w:rsidP="00BD2E7B">
      <w:pPr>
        <w:rPr>
          <w:lang w:val="en-NZ"/>
        </w:rPr>
      </w:pPr>
    </w:p>
    <w:p w:rsidR="00BD2E7B" w:rsidRPr="0079778A" w:rsidRDefault="00BD2E7B" w:rsidP="00BD2E7B">
      <w:pPr>
        <w:pStyle w:val="Heading2"/>
        <w:rPr>
          <w:lang w:val="en-NZ"/>
        </w:rPr>
      </w:pPr>
      <w:r w:rsidRPr="0079778A">
        <w:rPr>
          <w:lang w:val="en-NZ"/>
        </w:rPr>
        <w:t>Recommendation</w:t>
      </w:r>
    </w:p>
    <w:p w:rsidR="00BD2E7B" w:rsidRPr="0079778A" w:rsidRDefault="00BD2E7B" w:rsidP="00BD2E7B">
      <w:pPr>
        <w:rPr>
          <w:lang w:val="en-NZ"/>
        </w:rPr>
      </w:pPr>
    </w:p>
    <w:p w:rsidR="00BD2E7B" w:rsidRPr="0079778A" w:rsidRDefault="00BD2E7B" w:rsidP="00BD2E7B">
      <w:pPr>
        <w:rPr>
          <w:lang w:val="en-NZ"/>
        </w:rPr>
      </w:pPr>
      <w:r w:rsidRPr="0079778A">
        <w:rPr>
          <w:lang w:val="en-NZ"/>
        </w:rPr>
        <w:t>That the submission be accepted.</w:t>
      </w:r>
    </w:p>
    <w:p w:rsidR="00174907" w:rsidRDefault="00174907" w:rsidP="00174907">
      <w:pPr>
        <w:jc w:val="left"/>
        <w:rPr>
          <w:lang w:val="en-NZ"/>
        </w:rPr>
      </w:pPr>
    </w:p>
    <w:p w:rsidR="004E6E00" w:rsidRDefault="004E6E00" w:rsidP="004E6E00">
      <w:pPr>
        <w:jc w:val="left"/>
        <w:rPr>
          <w:lang w:val="en-NZ"/>
        </w:rPr>
      </w:pPr>
      <w:r>
        <w:rPr>
          <w:lang w:val="en-NZ"/>
        </w:rPr>
        <w:br w:type="page"/>
      </w:r>
    </w:p>
    <w:p w:rsidR="00490891" w:rsidRPr="00DB4CC5" w:rsidRDefault="00490891" w:rsidP="00BA061B">
      <w:pPr>
        <w:jc w:val="left"/>
        <w:rPr>
          <w:lang w:val="en-NZ"/>
        </w:rPr>
        <w:sectPr w:rsidR="00490891" w:rsidRPr="00DB4CC5" w:rsidSect="00AD47EB">
          <w:footerReference w:type="even" r:id="rId17"/>
          <w:footerReference w:type="default" r:id="rId18"/>
          <w:footerReference w:type="first" r:id="rId19"/>
          <w:type w:val="oddPage"/>
          <w:pgSz w:w="11906" w:h="16838" w:code="9"/>
          <w:pgMar w:top="1304" w:right="1797" w:bottom="1134" w:left="1797" w:header="720" w:footer="567" w:gutter="0"/>
          <w:cols w:space="720"/>
          <w:titlePg/>
        </w:sectPr>
      </w:pPr>
    </w:p>
    <w:p w:rsidR="00490891" w:rsidRPr="00DB4CC5" w:rsidRDefault="00490891" w:rsidP="00536A68">
      <w:pPr>
        <w:pStyle w:val="Heading1"/>
        <w:pBdr>
          <w:bottom w:val="none" w:sz="0" w:space="0" w:color="auto"/>
        </w:pBdr>
        <w:jc w:val="center"/>
        <w:rPr>
          <w:b w:val="0"/>
          <w:sz w:val="52"/>
        </w:rPr>
      </w:pPr>
    </w:p>
    <w:p w:rsidR="00490891" w:rsidRPr="00DB4CC5" w:rsidRDefault="00490891" w:rsidP="001D34A6">
      <w:pPr>
        <w:jc w:val="center"/>
        <w:rPr>
          <w:sz w:val="52"/>
          <w:lang w:val="en-NZ"/>
        </w:rPr>
      </w:pPr>
    </w:p>
    <w:p w:rsidR="00490891" w:rsidRPr="00DB4CC5" w:rsidRDefault="00490891" w:rsidP="00536A68">
      <w:pPr>
        <w:pStyle w:val="Heading1"/>
        <w:pBdr>
          <w:bottom w:val="none" w:sz="0" w:space="0" w:color="auto"/>
        </w:pBdr>
        <w:jc w:val="center"/>
        <w:rPr>
          <w:b w:val="0"/>
          <w:sz w:val="52"/>
        </w:rPr>
      </w:pPr>
    </w:p>
    <w:p w:rsidR="00490891" w:rsidRPr="00DB4CC5" w:rsidRDefault="00490891" w:rsidP="00536A68">
      <w:pPr>
        <w:pStyle w:val="Heading1"/>
        <w:pBdr>
          <w:bottom w:val="none" w:sz="0" w:space="0" w:color="auto"/>
        </w:pBdr>
        <w:jc w:val="center"/>
        <w:rPr>
          <w:b w:val="0"/>
          <w:sz w:val="52"/>
        </w:rPr>
      </w:pPr>
    </w:p>
    <w:p w:rsidR="00490891" w:rsidRPr="00DB4CC5" w:rsidRDefault="00490891" w:rsidP="00536A68">
      <w:pPr>
        <w:jc w:val="center"/>
        <w:rPr>
          <w:sz w:val="52"/>
          <w:lang w:val="en-NZ"/>
        </w:rPr>
      </w:pPr>
    </w:p>
    <w:p w:rsidR="00490891" w:rsidRPr="00DB4CC5" w:rsidRDefault="00490891" w:rsidP="00536A68">
      <w:pPr>
        <w:jc w:val="center"/>
        <w:rPr>
          <w:sz w:val="52"/>
          <w:lang w:val="en-NZ"/>
        </w:rPr>
      </w:pPr>
    </w:p>
    <w:p w:rsidR="00490891" w:rsidRPr="00DB4CC5" w:rsidRDefault="00490891" w:rsidP="00536A68">
      <w:pPr>
        <w:pStyle w:val="PartHeading"/>
        <w:pBdr>
          <w:top w:val="single" w:sz="4" w:space="10" w:color="auto"/>
          <w:bottom w:val="single" w:sz="4" w:space="10" w:color="auto"/>
        </w:pBdr>
        <w:spacing w:after="200"/>
      </w:pPr>
      <w:bookmarkStart w:id="100" w:name="_Toc432411988"/>
      <w:r w:rsidRPr="00DB4CC5">
        <w:rPr>
          <w:caps w:val="0"/>
        </w:rPr>
        <w:t>Other policy matters</w:t>
      </w:r>
      <w:bookmarkEnd w:id="100"/>
    </w:p>
    <w:p w:rsidR="00412BF4" w:rsidRDefault="00412BF4">
      <w:pPr>
        <w:jc w:val="left"/>
        <w:rPr>
          <w:caps/>
          <w:sz w:val="60"/>
          <w:lang w:val="en-NZ"/>
        </w:rPr>
      </w:pPr>
      <w:r>
        <w:br w:type="page"/>
      </w:r>
    </w:p>
    <w:p w:rsidR="00490891" w:rsidRPr="00DB4CC5" w:rsidRDefault="00490891" w:rsidP="00536A68">
      <w:pPr>
        <w:pStyle w:val="PartHeading"/>
        <w:pBdr>
          <w:top w:val="none" w:sz="0" w:space="0" w:color="auto"/>
          <w:bottom w:val="none" w:sz="0" w:space="0" w:color="auto"/>
        </w:pBdr>
      </w:pPr>
    </w:p>
    <w:p w:rsidR="00490891" w:rsidRPr="00DB4CC5" w:rsidRDefault="00490891" w:rsidP="00536A68">
      <w:pPr>
        <w:pStyle w:val="PartHeading"/>
        <w:pBdr>
          <w:top w:val="none" w:sz="0" w:space="0" w:color="auto"/>
          <w:bottom w:val="none" w:sz="0" w:space="0" w:color="auto"/>
        </w:pBdr>
        <w:sectPr w:rsidR="00490891" w:rsidRPr="00DB4CC5" w:rsidSect="00AD47EB">
          <w:footerReference w:type="even" r:id="rId20"/>
          <w:footerReference w:type="default" r:id="rId21"/>
          <w:footerReference w:type="first" r:id="rId22"/>
          <w:type w:val="oddPage"/>
          <w:pgSz w:w="11906" w:h="16838" w:code="9"/>
          <w:pgMar w:top="1304" w:right="1797" w:bottom="1134" w:left="1797" w:header="720" w:footer="567" w:gutter="0"/>
          <w:cols w:space="720"/>
          <w:titlePg/>
        </w:sectPr>
      </w:pPr>
    </w:p>
    <w:p w:rsidR="008D5919" w:rsidRPr="00DB4CC5" w:rsidRDefault="00D95FF8" w:rsidP="008D5919">
      <w:pPr>
        <w:pStyle w:val="Heading1"/>
      </w:pPr>
      <w:bookmarkStart w:id="101" w:name="_Toc432411989"/>
      <w:r>
        <w:t>Trust filing exception</w:t>
      </w:r>
      <w:bookmarkEnd w:id="101"/>
    </w:p>
    <w:p w:rsidR="008D5919" w:rsidRPr="00DB4CC5" w:rsidRDefault="008D5919" w:rsidP="008D5919">
      <w:pPr>
        <w:rPr>
          <w:lang w:val="en-NZ"/>
        </w:rPr>
      </w:pPr>
    </w:p>
    <w:p w:rsidR="008D5919" w:rsidRDefault="00416D3A" w:rsidP="00416D3A">
      <w:pPr>
        <w:pStyle w:val="Heading3"/>
        <w:rPr>
          <w:lang w:val="en-NZ"/>
        </w:rPr>
      </w:pPr>
      <w:r>
        <w:rPr>
          <w:lang w:val="en-NZ"/>
        </w:rPr>
        <w:t>Clause</w:t>
      </w:r>
      <w:r w:rsidR="00CD70BF">
        <w:rPr>
          <w:lang w:val="en-NZ"/>
        </w:rPr>
        <w:t xml:space="preserve"> 16</w:t>
      </w:r>
    </w:p>
    <w:p w:rsidR="00416D3A" w:rsidRDefault="00416D3A" w:rsidP="008D5919">
      <w:pPr>
        <w:rPr>
          <w:lang w:val="en-NZ"/>
        </w:rPr>
      </w:pPr>
    </w:p>
    <w:p w:rsidR="0021448C" w:rsidRPr="00DB4CC5" w:rsidRDefault="0021448C" w:rsidP="008D5919">
      <w:pPr>
        <w:rPr>
          <w:lang w:val="en-NZ"/>
        </w:rPr>
      </w:pPr>
    </w:p>
    <w:p w:rsidR="008D5919" w:rsidRPr="00DB4CC5" w:rsidRDefault="008D5919" w:rsidP="008D5919">
      <w:pPr>
        <w:pStyle w:val="Heading5"/>
        <w:ind w:left="794" w:hanging="794"/>
        <w:rPr>
          <w:lang w:val="en-NZ"/>
        </w:rPr>
      </w:pPr>
      <w:bookmarkStart w:id="102" w:name="_Toc432411990"/>
      <w:r w:rsidRPr="00DB4CC5">
        <w:rPr>
          <w:lang w:val="en-NZ"/>
        </w:rPr>
        <w:t>Issue:</w:t>
      </w:r>
      <w:r w:rsidRPr="00DB4CC5">
        <w:rPr>
          <w:lang w:val="en-NZ"/>
        </w:rPr>
        <w:tab/>
      </w:r>
      <w:r w:rsidR="00BD0C36">
        <w:rPr>
          <w:lang w:val="en-NZ"/>
        </w:rPr>
        <w:t>Support for proposal</w:t>
      </w:r>
      <w:bookmarkEnd w:id="102"/>
    </w:p>
    <w:p w:rsidR="008D5919" w:rsidRPr="00DB4CC5" w:rsidRDefault="008D5919" w:rsidP="008D5919">
      <w:pPr>
        <w:rPr>
          <w:lang w:val="en-NZ"/>
        </w:rPr>
      </w:pPr>
    </w:p>
    <w:p w:rsidR="008D5919" w:rsidRPr="00DB4CC5" w:rsidRDefault="008D5919" w:rsidP="008D5919">
      <w:pPr>
        <w:rPr>
          <w:lang w:val="en-NZ"/>
        </w:rPr>
      </w:pPr>
    </w:p>
    <w:p w:rsidR="008D5919" w:rsidRPr="00DB4CC5" w:rsidRDefault="008D5919" w:rsidP="008D5919">
      <w:pPr>
        <w:pStyle w:val="Heading2"/>
        <w:rPr>
          <w:lang w:val="en-NZ"/>
        </w:rPr>
      </w:pPr>
      <w:r w:rsidRPr="00DB4CC5">
        <w:rPr>
          <w:lang w:val="en-NZ"/>
        </w:rPr>
        <w:t>Submission</w:t>
      </w:r>
    </w:p>
    <w:p w:rsidR="008D5919" w:rsidRPr="00DB4CC5" w:rsidRDefault="00BD0C36" w:rsidP="008D5919">
      <w:pPr>
        <w:pStyle w:val="Heading4"/>
        <w:rPr>
          <w:lang w:val="en-NZ"/>
        </w:rPr>
      </w:pPr>
      <w:r>
        <w:rPr>
          <w:lang w:val="en-NZ"/>
        </w:rPr>
        <w:t>(Chartered Accountants Australia and New Zealand</w:t>
      </w:r>
      <w:r w:rsidR="00E23BAB">
        <w:rPr>
          <w:lang w:val="en-NZ"/>
        </w:rPr>
        <w:t xml:space="preserve">, </w:t>
      </w:r>
      <w:r w:rsidR="00D90858">
        <w:rPr>
          <w:lang w:val="en-NZ"/>
        </w:rPr>
        <w:t>P</w:t>
      </w:r>
      <w:r w:rsidR="00E23BAB">
        <w:rPr>
          <w:lang w:val="en-NZ"/>
        </w:rPr>
        <w:t>w</w:t>
      </w:r>
      <w:r w:rsidR="00D90858">
        <w:rPr>
          <w:lang w:val="en-NZ"/>
        </w:rPr>
        <w:t>C</w:t>
      </w:r>
      <w:r>
        <w:rPr>
          <w:lang w:val="en-NZ"/>
        </w:rPr>
        <w:t>)</w:t>
      </w:r>
    </w:p>
    <w:p w:rsidR="008D5919" w:rsidRPr="00DB4CC5" w:rsidRDefault="008D5919" w:rsidP="008D5919">
      <w:pPr>
        <w:tabs>
          <w:tab w:val="left" w:pos="5295"/>
        </w:tabs>
        <w:rPr>
          <w:lang w:val="en-NZ"/>
        </w:rPr>
      </w:pPr>
    </w:p>
    <w:p w:rsidR="008D5919" w:rsidRPr="00DB4CC5" w:rsidRDefault="00CD70BF" w:rsidP="008D5919">
      <w:pPr>
        <w:rPr>
          <w:lang w:val="en-NZ"/>
        </w:rPr>
      </w:pPr>
      <w:r>
        <w:rPr>
          <w:lang w:val="en-NZ"/>
        </w:rPr>
        <w:t>Submitters supported the proposed amendment.</w:t>
      </w:r>
    </w:p>
    <w:p w:rsidR="008D5919" w:rsidRPr="00DB4CC5" w:rsidRDefault="008D5919" w:rsidP="008D5919">
      <w:pPr>
        <w:rPr>
          <w:lang w:val="en-NZ"/>
        </w:rPr>
      </w:pPr>
    </w:p>
    <w:p w:rsidR="008D5919" w:rsidRPr="00DB4CC5" w:rsidRDefault="008D5919" w:rsidP="008D5919">
      <w:pPr>
        <w:pStyle w:val="Heading2"/>
        <w:rPr>
          <w:lang w:val="en-NZ"/>
        </w:rPr>
      </w:pPr>
      <w:r w:rsidRPr="00DB4CC5">
        <w:rPr>
          <w:lang w:val="en-NZ"/>
        </w:rPr>
        <w:t>Recommendation</w:t>
      </w:r>
    </w:p>
    <w:p w:rsidR="008D5919" w:rsidRPr="00DB4CC5" w:rsidRDefault="008D5919" w:rsidP="008D5919">
      <w:pPr>
        <w:rPr>
          <w:lang w:val="en-NZ"/>
        </w:rPr>
      </w:pPr>
    </w:p>
    <w:p w:rsidR="008D5919" w:rsidRPr="00DB4CC5" w:rsidRDefault="008D5919" w:rsidP="008D5919">
      <w:pPr>
        <w:rPr>
          <w:lang w:val="en-NZ"/>
        </w:rPr>
      </w:pPr>
      <w:r w:rsidRPr="00DB4CC5">
        <w:rPr>
          <w:lang w:val="en-NZ"/>
        </w:rPr>
        <w:t xml:space="preserve">That the submission be </w:t>
      </w:r>
      <w:r w:rsidR="00CD70BF">
        <w:rPr>
          <w:lang w:val="en-NZ"/>
        </w:rPr>
        <w:t>noted.</w:t>
      </w:r>
    </w:p>
    <w:p w:rsidR="008D5919" w:rsidRPr="00DB4CC5" w:rsidRDefault="008D5919" w:rsidP="008D5919">
      <w:pPr>
        <w:pBdr>
          <w:bottom w:val="single" w:sz="4" w:space="1" w:color="auto"/>
        </w:pBdr>
        <w:rPr>
          <w:lang w:val="en-NZ"/>
        </w:rPr>
      </w:pPr>
    </w:p>
    <w:p w:rsidR="008D5919" w:rsidRDefault="008D5919" w:rsidP="008D5919">
      <w:pPr>
        <w:rPr>
          <w:lang w:val="en-NZ"/>
        </w:rPr>
      </w:pPr>
    </w:p>
    <w:p w:rsidR="0021448C" w:rsidRPr="00DB4CC5" w:rsidRDefault="0021448C" w:rsidP="008D5919">
      <w:pPr>
        <w:rPr>
          <w:lang w:val="en-NZ"/>
        </w:rPr>
      </w:pPr>
    </w:p>
    <w:p w:rsidR="00C767F5" w:rsidRPr="00DB4CC5" w:rsidRDefault="00C767F5" w:rsidP="00C767F5">
      <w:pPr>
        <w:pStyle w:val="Heading5"/>
        <w:ind w:left="794" w:hanging="794"/>
        <w:rPr>
          <w:lang w:val="en-NZ"/>
        </w:rPr>
      </w:pPr>
      <w:bookmarkStart w:id="103" w:name="_Toc432411991"/>
      <w:r w:rsidRPr="00DB4CC5">
        <w:rPr>
          <w:lang w:val="en-NZ"/>
        </w:rPr>
        <w:t>Issue:</w:t>
      </w:r>
      <w:r w:rsidRPr="00DB4CC5">
        <w:rPr>
          <w:lang w:val="en-NZ"/>
        </w:rPr>
        <w:tab/>
      </w:r>
      <w:r w:rsidR="00180C4C">
        <w:rPr>
          <w:lang w:val="en-NZ"/>
        </w:rPr>
        <w:t xml:space="preserve">Minimal </w:t>
      </w:r>
      <w:r w:rsidR="00BD0C36">
        <w:rPr>
          <w:lang w:val="en-NZ"/>
        </w:rPr>
        <w:t>income</w:t>
      </w:r>
      <w:r w:rsidR="00180C4C">
        <w:rPr>
          <w:lang w:val="en-NZ"/>
        </w:rPr>
        <w:t xml:space="preserve"> and expenditure</w:t>
      </w:r>
      <w:bookmarkEnd w:id="103"/>
    </w:p>
    <w:p w:rsidR="00C767F5" w:rsidRPr="00DB4CC5" w:rsidRDefault="00C767F5" w:rsidP="00C767F5">
      <w:pPr>
        <w:rPr>
          <w:lang w:val="en-NZ"/>
        </w:rPr>
      </w:pPr>
    </w:p>
    <w:p w:rsidR="00C767F5" w:rsidRPr="00DB4CC5" w:rsidRDefault="00C767F5" w:rsidP="00C767F5">
      <w:pPr>
        <w:rPr>
          <w:lang w:val="en-NZ"/>
        </w:rPr>
      </w:pPr>
    </w:p>
    <w:p w:rsidR="00C767F5" w:rsidRPr="00DB4CC5" w:rsidRDefault="00C767F5" w:rsidP="00C767F5">
      <w:pPr>
        <w:pStyle w:val="Heading2"/>
        <w:rPr>
          <w:lang w:val="en-NZ"/>
        </w:rPr>
      </w:pPr>
      <w:r w:rsidRPr="00DB4CC5">
        <w:rPr>
          <w:lang w:val="en-NZ"/>
        </w:rPr>
        <w:t>Submission</w:t>
      </w:r>
    </w:p>
    <w:p w:rsidR="00C767F5" w:rsidRPr="00DB4CC5" w:rsidRDefault="00C767F5" w:rsidP="00C767F5">
      <w:pPr>
        <w:pStyle w:val="Heading4"/>
        <w:rPr>
          <w:lang w:val="en-NZ"/>
        </w:rPr>
      </w:pPr>
      <w:r w:rsidRPr="00DB4CC5">
        <w:rPr>
          <w:lang w:val="en-NZ"/>
        </w:rPr>
        <w:t>(</w:t>
      </w:r>
      <w:r w:rsidR="00174907">
        <w:rPr>
          <w:lang w:val="en-NZ"/>
        </w:rPr>
        <w:t>Chartered Accountants Australia and New Zealand</w:t>
      </w:r>
      <w:r w:rsidR="00B83E96">
        <w:rPr>
          <w:lang w:val="en-NZ"/>
        </w:rPr>
        <w:t xml:space="preserve">, </w:t>
      </w:r>
      <w:r w:rsidR="00D90858">
        <w:rPr>
          <w:lang w:val="en-NZ"/>
        </w:rPr>
        <w:t>P</w:t>
      </w:r>
      <w:r w:rsidR="00B83E96">
        <w:rPr>
          <w:lang w:val="en-NZ"/>
        </w:rPr>
        <w:t>w</w:t>
      </w:r>
      <w:r w:rsidR="00D90858">
        <w:rPr>
          <w:lang w:val="en-NZ"/>
        </w:rPr>
        <w:t>C</w:t>
      </w:r>
      <w:r w:rsidR="00950C8C">
        <w:rPr>
          <w:lang w:val="en-NZ"/>
        </w:rPr>
        <w:t>, KPMG</w:t>
      </w:r>
      <w:r w:rsidRPr="00DB4CC5">
        <w:rPr>
          <w:lang w:val="en-NZ"/>
        </w:rPr>
        <w:t>)</w:t>
      </w:r>
    </w:p>
    <w:p w:rsidR="00C767F5" w:rsidRPr="00DB4CC5" w:rsidRDefault="00C767F5" w:rsidP="00C767F5">
      <w:pPr>
        <w:tabs>
          <w:tab w:val="left" w:pos="5295"/>
        </w:tabs>
        <w:rPr>
          <w:lang w:val="en-NZ"/>
        </w:rPr>
      </w:pPr>
    </w:p>
    <w:p w:rsidR="00C767F5" w:rsidRPr="00DB4CC5" w:rsidRDefault="00BD0C36" w:rsidP="00C767F5">
      <w:pPr>
        <w:rPr>
          <w:lang w:val="en-NZ"/>
        </w:rPr>
      </w:pPr>
      <w:r>
        <w:rPr>
          <w:lang w:val="en-NZ"/>
        </w:rPr>
        <w:t xml:space="preserve">The minimal amount of income exemption should be set at $1,000 if income is taxed at source at the default rate, rather than $50 as this would make a much more meaningful difference to compliance cost savings. </w:t>
      </w:r>
      <w:r w:rsidR="00E23BAB" w:rsidRPr="009B557D">
        <w:rPr>
          <w:i/>
          <w:lang w:val="en-NZ"/>
        </w:rPr>
        <w:t>(Chartered Accountants Australia and New Zealand</w:t>
      </w:r>
      <w:r w:rsidR="00546498" w:rsidRPr="009B557D">
        <w:rPr>
          <w:i/>
          <w:lang w:val="en-NZ"/>
        </w:rPr>
        <w:t>)</w:t>
      </w:r>
    </w:p>
    <w:p w:rsidR="00C767F5" w:rsidRDefault="00C767F5" w:rsidP="00C767F5">
      <w:pPr>
        <w:rPr>
          <w:lang w:val="en-NZ"/>
        </w:rPr>
      </w:pPr>
    </w:p>
    <w:p w:rsidR="00950C8C" w:rsidRDefault="003A315A" w:rsidP="00C767F5">
      <w:pPr>
        <w:rPr>
          <w:lang w:val="en-NZ"/>
        </w:rPr>
      </w:pPr>
      <w:r>
        <w:rPr>
          <w:lang w:val="en-NZ"/>
        </w:rPr>
        <w:t xml:space="preserve">The de </w:t>
      </w:r>
      <w:proofErr w:type="spellStart"/>
      <w:r>
        <w:rPr>
          <w:lang w:val="en-NZ"/>
        </w:rPr>
        <w:t>minimus</w:t>
      </w:r>
      <w:proofErr w:type="spellEnd"/>
      <w:r>
        <w:rPr>
          <w:lang w:val="en-NZ"/>
        </w:rPr>
        <w:t xml:space="preserve"> for administration costs should be increased</w:t>
      </w:r>
      <w:r w:rsidR="00D60D96">
        <w:rPr>
          <w:lang w:val="en-NZ"/>
        </w:rPr>
        <w:t xml:space="preserve">. </w:t>
      </w:r>
      <w:r w:rsidR="00D60D96" w:rsidRPr="009B557D">
        <w:rPr>
          <w:i/>
          <w:lang w:val="en-NZ"/>
        </w:rPr>
        <w:t>(</w:t>
      </w:r>
      <w:r w:rsidR="00D90858" w:rsidRPr="009B557D">
        <w:rPr>
          <w:i/>
          <w:lang w:val="en-NZ"/>
        </w:rPr>
        <w:t>P</w:t>
      </w:r>
      <w:r w:rsidR="00D60D96" w:rsidRPr="009B557D">
        <w:rPr>
          <w:i/>
          <w:lang w:val="en-NZ"/>
        </w:rPr>
        <w:t>w</w:t>
      </w:r>
      <w:r w:rsidR="00D90858" w:rsidRPr="009B557D">
        <w:rPr>
          <w:i/>
          <w:lang w:val="en-NZ"/>
        </w:rPr>
        <w:t>C</w:t>
      </w:r>
      <w:r w:rsidR="00D60D96" w:rsidRPr="009B557D">
        <w:rPr>
          <w:i/>
          <w:lang w:val="en-NZ"/>
        </w:rPr>
        <w:t>)</w:t>
      </w:r>
    </w:p>
    <w:p w:rsidR="00950C8C" w:rsidRDefault="00950C8C" w:rsidP="00C767F5">
      <w:pPr>
        <w:rPr>
          <w:lang w:val="en-NZ"/>
        </w:rPr>
      </w:pPr>
    </w:p>
    <w:p w:rsidR="00950C8C" w:rsidRDefault="00950C8C" w:rsidP="00C767F5">
      <w:pPr>
        <w:rPr>
          <w:lang w:val="en-NZ"/>
        </w:rPr>
      </w:pPr>
      <w:r>
        <w:rPr>
          <w:lang w:val="en-NZ"/>
        </w:rPr>
        <w:t>The exclusion for non-active trusts needs to have a more reasonable income threshold</w:t>
      </w:r>
      <w:r w:rsidR="00F16E3E">
        <w:rPr>
          <w:lang w:val="en-NZ"/>
        </w:rPr>
        <w:t>.  A</w:t>
      </w:r>
      <w:r>
        <w:rPr>
          <w:lang w:val="en-NZ"/>
        </w:rPr>
        <w:t>t present it is limited to bank interest and cannot exceed the $50 of administration costs allow</w:t>
      </w:r>
      <w:r w:rsidR="00D90858">
        <w:rPr>
          <w:lang w:val="en-NZ"/>
        </w:rPr>
        <w:t>ed</w:t>
      </w:r>
      <w:r w:rsidR="00F16E3E">
        <w:rPr>
          <w:lang w:val="en-NZ"/>
        </w:rPr>
        <w:t>.  T</w:t>
      </w:r>
      <w:r w:rsidR="00EC003E">
        <w:rPr>
          <w:lang w:val="en-NZ"/>
        </w:rPr>
        <w:t>here is no practical value from trusts having to file tax returns for minimal amounts.</w:t>
      </w:r>
      <w:r w:rsidR="00317E43">
        <w:rPr>
          <w:lang w:val="en-NZ"/>
        </w:rPr>
        <w:t xml:space="preserve"> </w:t>
      </w:r>
      <w:r>
        <w:rPr>
          <w:lang w:val="en-NZ"/>
        </w:rPr>
        <w:t xml:space="preserve"> </w:t>
      </w:r>
      <w:r w:rsidRPr="009B557D">
        <w:rPr>
          <w:i/>
          <w:lang w:val="en-NZ"/>
        </w:rPr>
        <w:t xml:space="preserve">(KPMG) </w:t>
      </w:r>
    </w:p>
    <w:p w:rsidR="00B83E96" w:rsidRPr="00DB4CC5" w:rsidRDefault="00B83E96" w:rsidP="00C767F5">
      <w:pPr>
        <w:rPr>
          <w:lang w:val="en-NZ"/>
        </w:rPr>
      </w:pPr>
    </w:p>
    <w:p w:rsidR="00C767F5" w:rsidRPr="00DB4CC5" w:rsidRDefault="00C767F5" w:rsidP="00C767F5">
      <w:pPr>
        <w:pStyle w:val="Heading2"/>
        <w:rPr>
          <w:lang w:val="en-NZ"/>
        </w:rPr>
      </w:pPr>
      <w:r w:rsidRPr="00DB4CC5">
        <w:rPr>
          <w:lang w:val="en-NZ"/>
        </w:rPr>
        <w:t>Comment</w:t>
      </w:r>
    </w:p>
    <w:p w:rsidR="00C767F5" w:rsidRPr="00DB4CC5" w:rsidRDefault="00C767F5" w:rsidP="00C767F5">
      <w:pPr>
        <w:rPr>
          <w:lang w:val="en-NZ"/>
        </w:rPr>
      </w:pPr>
    </w:p>
    <w:p w:rsidR="00C767F5" w:rsidRDefault="00180C4C" w:rsidP="00C767F5">
      <w:pPr>
        <w:rPr>
          <w:lang w:val="en-NZ"/>
        </w:rPr>
      </w:pPr>
      <w:r>
        <w:rPr>
          <w:lang w:val="en-NZ"/>
        </w:rPr>
        <w:t xml:space="preserve">We agree that the proposed exception should be extended </w:t>
      </w:r>
      <w:r w:rsidR="00903D08">
        <w:rPr>
          <w:lang w:val="en-NZ"/>
        </w:rPr>
        <w:t xml:space="preserve">to </w:t>
      </w:r>
      <w:r w:rsidR="00CD2870">
        <w:rPr>
          <w:lang w:val="en-NZ"/>
        </w:rPr>
        <w:t>achieve more compliance cost savings.</w:t>
      </w:r>
    </w:p>
    <w:p w:rsidR="00180C4C" w:rsidRDefault="00180C4C" w:rsidP="00C767F5">
      <w:pPr>
        <w:rPr>
          <w:lang w:val="en-NZ"/>
        </w:rPr>
      </w:pPr>
    </w:p>
    <w:p w:rsidR="00180C4C" w:rsidRDefault="00180C4C" w:rsidP="00C767F5">
      <w:pPr>
        <w:rPr>
          <w:lang w:val="en-NZ"/>
        </w:rPr>
      </w:pPr>
      <w:r>
        <w:rPr>
          <w:lang w:val="en-NZ"/>
        </w:rPr>
        <w:t xml:space="preserve">We consider that trusts should be </w:t>
      </w:r>
      <w:r w:rsidR="00CD2870">
        <w:rPr>
          <w:lang w:val="en-NZ"/>
        </w:rPr>
        <w:t>treate</w:t>
      </w:r>
      <w:r w:rsidR="00551435">
        <w:rPr>
          <w:lang w:val="en-NZ"/>
        </w:rPr>
        <w:t>d</w:t>
      </w:r>
      <w:r w:rsidR="00CD2870">
        <w:rPr>
          <w:lang w:val="en-NZ"/>
        </w:rPr>
        <w:t xml:space="preserve"> as h</w:t>
      </w:r>
      <w:r w:rsidR="00903D08">
        <w:rPr>
          <w:lang w:val="en-NZ"/>
        </w:rPr>
        <w:t>a</w:t>
      </w:r>
      <w:r w:rsidR="00CD2870">
        <w:rPr>
          <w:lang w:val="en-NZ"/>
        </w:rPr>
        <w:t>ving</w:t>
      </w:r>
      <w:r>
        <w:rPr>
          <w:lang w:val="en-NZ"/>
        </w:rPr>
        <w:t xml:space="preserve"> nil income for the purpose of the exception if their relevant income or expenditure is less than $200, rather than $50 as proposed in the bill.</w:t>
      </w:r>
    </w:p>
    <w:p w:rsidR="00317E43" w:rsidRDefault="00317E43" w:rsidP="00C767F5">
      <w:pPr>
        <w:rPr>
          <w:lang w:val="en-NZ"/>
        </w:rPr>
      </w:pPr>
    </w:p>
    <w:p w:rsidR="00317E43" w:rsidRDefault="00317E43" w:rsidP="00C767F5">
      <w:pPr>
        <w:rPr>
          <w:lang w:val="en-NZ"/>
        </w:rPr>
      </w:pPr>
      <w:r>
        <w:rPr>
          <w:lang w:val="en-NZ"/>
        </w:rPr>
        <w:t>We also propose that</w:t>
      </w:r>
      <w:r w:rsidR="00C11A8D">
        <w:rPr>
          <w:lang w:val="en-NZ"/>
        </w:rPr>
        <w:t>,</w:t>
      </w:r>
      <w:r w:rsidR="00180C4C">
        <w:rPr>
          <w:lang w:val="en-NZ"/>
        </w:rPr>
        <w:t xml:space="preserve"> in determining whether the trust has no deductions that</w:t>
      </w:r>
      <w:r>
        <w:rPr>
          <w:lang w:val="en-NZ"/>
        </w:rPr>
        <w:t xml:space="preserve"> interest, rates and other expenditure incidental to the occupation of the property </w:t>
      </w:r>
      <w:r w:rsidR="001A314B">
        <w:rPr>
          <w:lang w:val="en-NZ"/>
        </w:rPr>
        <w:t>and incurred by a beneficiary of the trust</w:t>
      </w:r>
      <w:r w:rsidR="00C11A8D">
        <w:rPr>
          <w:lang w:val="en-NZ"/>
        </w:rPr>
        <w:t>,</w:t>
      </w:r>
      <w:r>
        <w:rPr>
          <w:lang w:val="en-NZ"/>
        </w:rPr>
        <w:t xml:space="preserve"> are </w:t>
      </w:r>
      <w:r w:rsidR="00180C4C">
        <w:rPr>
          <w:lang w:val="en-NZ"/>
        </w:rPr>
        <w:t>disregarded</w:t>
      </w:r>
      <w:r>
        <w:rPr>
          <w:lang w:val="en-NZ"/>
        </w:rPr>
        <w:t>.</w:t>
      </w:r>
    </w:p>
    <w:p w:rsidR="000701AF" w:rsidRDefault="000701AF" w:rsidP="00C767F5">
      <w:pPr>
        <w:rPr>
          <w:lang w:val="en-NZ"/>
        </w:rPr>
      </w:pPr>
    </w:p>
    <w:p w:rsidR="000701AF" w:rsidRDefault="000701AF" w:rsidP="00C767F5">
      <w:pPr>
        <w:rPr>
          <w:lang w:val="en-NZ"/>
        </w:rPr>
      </w:pPr>
      <w:r>
        <w:rPr>
          <w:lang w:val="en-NZ"/>
        </w:rPr>
        <w:t>These</w:t>
      </w:r>
      <w:r w:rsidR="00CF29B8">
        <w:rPr>
          <w:lang w:val="en-NZ"/>
        </w:rPr>
        <w:t xml:space="preserve"> changes</w:t>
      </w:r>
      <w:r>
        <w:rPr>
          <w:lang w:val="en-NZ"/>
        </w:rPr>
        <w:t xml:space="preserve"> should help ensure that the amendment </w:t>
      </w:r>
      <w:r w:rsidR="00CF29B8">
        <w:rPr>
          <w:lang w:val="en-NZ"/>
        </w:rPr>
        <w:t xml:space="preserve">reduces </w:t>
      </w:r>
      <w:r>
        <w:rPr>
          <w:lang w:val="en-NZ"/>
        </w:rPr>
        <w:t>compliance costs for taxpayers.</w:t>
      </w:r>
    </w:p>
    <w:p w:rsidR="00C767F5" w:rsidRPr="00DB4CC5" w:rsidRDefault="00C767F5" w:rsidP="00C767F5">
      <w:pPr>
        <w:rPr>
          <w:lang w:val="en-NZ"/>
        </w:rPr>
      </w:pPr>
    </w:p>
    <w:p w:rsidR="00C767F5" w:rsidRPr="00DB4CC5" w:rsidRDefault="00C767F5" w:rsidP="00C767F5">
      <w:pPr>
        <w:pStyle w:val="Heading2"/>
        <w:rPr>
          <w:lang w:val="en-NZ"/>
        </w:rPr>
      </w:pPr>
      <w:r w:rsidRPr="00DB4CC5">
        <w:rPr>
          <w:lang w:val="en-NZ"/>
        </w:rPr>
        <w:t>Recommendation</w:t>
      </w:r>
    </w:p>
    <w:p w:rsidR="00C767F5" w:rsidRPr="00DB4CC5" w:rsidRDefault="00C767F5" w:rsidP="00C767F5">
      <w:pPr>
        <w:rPr>
          <w:lang w:val="en-NZ"/>
        </w:rPr>
      </w:pPr>
    </w:p>
    <w:p w:rsidR="00C767F5" w:rsidRPr="00DB4CC5" w:rsidRDefault="00C767F5" w:rsidP="00C767F5">
      <w:pPr>
        <w:rPr>
          <w:lang w:val="en-NZ"/>
        </w:rPr>
      </w:pPr>
      <w:r w:rsidRPr="00DB4CC5">
        <w:rPr>
          <w:lang w:val="en-NZ"/>
        </w:rPr>
        <w:t xml:space="preserve">That the submission be </w:t>
      </w:r>
      <w:r w:rsidR="00CD70BF">
        <w:rPr>
          <w:lang w:val="en-NZ"/>
        </w:rPr>
        <w:t>accepted</w:t>
      </w:r>
      <w:r w:rsidR="00C11A8D">
        <w:rPr>
          <w:lang w:val="en-NZ"/>
        </w:rPr>
        <w:t>,</w:t>
      </w:r>
      <w:r w:rsidR="00CD70BF">
        <w:rPr>
          <w:lang w:val="en-NZ"/>
        </w:rPr>
        <w:t xml:space="preserve"> subject to </w:t>
      </w:r>
      <w:r w:rsidR="00546498">
        <w:rPr>
          <w:lang w:val="en-NZ"/>
        </w:rPr>
        <w:t>officials’</w:t>
      </w:r>
      <w:r w:rsidR="00CD70BF">
        <w:rPr>
          <w:lang w:val="en-NZ"/>
        </w:rPr>
        <w:t xml:space="preserve"> comments.</w:t>
      </w:r>
    </w:p>
    <w:p w:rsidR="00C767F5" w:rsidRPr="00DB4CC5" w:rsidRDefault="00C767F5" w:rsidP="00C767F5">
      <w:pPr>
        <w:pBdr>
          <w:bottom w:val="single" w:sz="4" w:space="1" w:color="auto"/>
        </w:pBdr>
        <w:rPr>
          <w:lang w:val="en-NZ"/>
        </w:rPr>
      </w:pPr>
    </w:p>
    <w:p w:rsidR="00174907" w:rsidRDefault="00174907" w:rsidP="00174907">
      <w:pPr>
        <w:rPr>
          <w:lang w:val="en-NZ"/>
        </w:rPr>
      </w:pPr>
    </w:p>
    <w:p w:rsidR="0021448C" w:rsidRPr="00DB4CC5" w:rsidRDefault="0021448C" w:rsidP="00174907">
      <w:pPr>
        <w:rPr>
          <w:lang w:val="en-NZ"/>
        </w:rPr>
      </w:pPr>
    </w:p>
    <w:p w:rsidR="00174907" w:rsidRPr="00DB4CC5" w:rsidRDefault="00174907" w:rsidP="00174907">
      <w:pPr>
        <w:pStyle w:val="Heading5"/>
        <w:ind w:left="794" w:hanging="794"/>
        <w:rPr>
          <w:lang w:val="en-NZ"/>
        </w:rPr>
      </w:pPr>
      <w:bookmarkStart w:id="104" w:name="_Toc432411992"/>
      <w:r w:rsidRPr="00DB4CC5">
        <w:rPr>
          <w:lang w:val="en-NZ"/>
        </w:rPr>
        <w:t>Issue:</w:t>
      </w:r>
      <w:r w:rsidRPr="00DB4CC5">
        <w:rPr>
          <w:lang w:val="en-NZ"/>
        </w:rPr>
        <w:tab/>
      </w:r>
      <w:r>
        <w:rPr>
          <w:lang w:val="en-NZ"/>
        </w:rPr>
        <w:t>Non-active entity</w:t>
      </w:r>
      <w:bookmarkEnd w:id="104"/>
    </w:p>
    <w:p w:rsidR="00174907" w:rsidRPr="00DB4CC5" w:rsidRDefault="00174907" w:rsidP="00174907">
      <w:pPr>
        <w:rPr>
          <w:lang w:val="en-NZ"/>
        </w:rPr>
      </w:pPr>
    </w:p>
    <w:p w:rsidR="00174907" w:rsidRPr="00DB4CC5" w:rsidRDefault="00174907" w:rsidP="00174907">
      <w:pPr>
        <w:rPr>
          <w:lang w:val="en-NZ"/>
        </w:rPr>
      </w:pPr>
    </w:p>
    <w:p w:rsidR="00174907" w:rsidRPr="00DB4CC5" w:rsidRDefault="00174907" w:rsidP="00174907">
      <w:pPr>
        <w:pStyle w:val="Heading2"/>
        <w:rPr>
          <w:lang w:val="en-NZ"/>
        </w:rPr>
      </w:pPr>
      <w:r w:rsidRPr="00DB4CC5">
        <w:rPr>
          <w:lang w:val="en-NZ"/>
        </w:rPr>
        <w:t>Submission</w:t>
      </w:r>
    </w:p>
    <w:p w:rsidR="00174907" w:rsidRPr="00DB4CC5" w:rsidRDefault="00174907" w:rsidP="00174907">
      <w:pPr>
        <w:pStyle w:val="Heading4"/>
        <w:rPr>
          <w:lang w:val="en-NZ"/>
        </w:rPr>
      </w:pPr>
      <w:r>
        <w:rPr>
          <w:lang w:val="en-NZ"/>
        </w:rPr>
        <w:t>(New Zealand Law Society)</w:t>
      </w:r>
    </w:p>
    <w:p w:rsidR="00174907" w:rsidRPr="00DB4CC5" w:rsidRDefault="00174907" w:rsidP="00174907">
      <w:pPr>
        <w:tabs>
          <w:tab w:val="left" w:pos="5295"/>
        </w:tabs>
        <w:rPr>
          <w:lang w:val="en-NZ"/>
        </w:rPr>
      </w:pPr>
    </w:p>
    <w:p w:rsidR="00174907" w:rsidRDefault="00174907" w:rsidP="00174907">
      <w:pPr>
        <w:rPr>
          <w:lang w:val="en-NZ"/>
        </w:rPr>
      </w:pPr>
      <w:r>
        <w:rPr>
          <w:lang w:val="en-NZ"/>
        </w:rPr>
        <w:t xml:space="preserve">The requirement </w:t>
      </w:r>
      <w:r w:rsidR="00903D08">
        <w:rPr>
          <w:lang w:val="en-NZ"/>
        </w:rPr>
        <w:t xml:space="preserve">that </w:t>
      </w:r>
      <w:r>
        <w:rPr>
          <w:lang w:val="en-NZ"/>
        </w:rPr>
        <w:t>the trust not have disposed of any assets is not required for the rule as distributions of capital by a complying trust are not subject to income tax.</w:t>
      </w:r>
    </w:p>
    <w:p w:rsidR="00174907" w:rsidRDefault="00174907" w:rsidP="00174907">
      <w:pPr>
        <w:rPr>
          <w:lang w:val="en-NZ"/>
        </w:rPr>
      </w:pPr>
    </w:p>
    <w:p w:rsidR="00174907" w:rsidRPr="00DB4CC5" w:rsidRDefault="00174907" w:rsidP="00174907">
      <w:pPr>
        <w:rPr>
          <w:lang w:val="en-NZ"/>
        </w:rPr>
      </w:pPr>
      <w:r>
        <w:rPr>
          <w:lang w:val="en-NZ"/>
        </w:rPr>
        <w:t xml:space="preserve">The requirement that the trust not have disposed of any assets should </w:t>
      </w:r>
      <w:r w:rsidR="002114CA">
        <w:rPr>
          <w:lang w:val="en-NZ"/>
        </w:rPr>
        <w:t>t</w:t>
      </w:r>
      <w:r>
        <w:rPr>
          <w:lang w:val="en-NZ"/>
        </w:rPr>
        <w:t>herefore be removed as it would increase compliance costs but not increase the tax take.</w:t>
      </w:r>
    </w:p>
    <w:p w:rsidR="00174907" w:rsidRPr="00DB4CC5" w:rsidRDefault="00174907" w:rsidP="00174907">
      <w:pPr>
        <w:rPr>
          <w:lang w:val="en-NZ"/>
        </w:rPr>
      </w:pPr>
    </w:p>
    <w:p w:rsidR="00174907" w:rsidRPr="00DB4CC5" w:rsidRDefault="00174907" w:rsidP="00174907">
      <w:pPr>
        <w:pStyle w:val="Heading2"/>
        <w:rPr>
          <w:lang w:val="en-NZ"/>
        </w:rPr>
      </w:pPr>
      <w:r w:rsidRPr="00DB4CC5">
        <w:rPr>
          <w:lang w:val="en-NZ"/>
        </w:rPr>
        <w:t>Comment</w:t>
      </w:r>
    </w:p>
    <w:p w:rsidR="00174907" w:rsidRPr="00DB4CC5" w:rsidRDefault="00174907" w:rsidP="00174907">
      <w:pPr>
        <w:rPr>
          <w:lang w:val="en-NZ"/>
        </w:rPr>
      </w:pPr>
    </w:p>
    <w:p w:rsidR="00174907" w:rsidRPr="00DB4CC5" w:rsidRDefault="00CD70BF" w:rsidP="00174907">
      <w:pPr>
        <w:rPr>
          <w:lang w:val="en-NZ"/>
        </w:rPr>
      </w:pPr>
      <w:r>
        <w:rPr>
          <w:lang w:val="en-NZ"/>
        </w:rPr>
        <w:t>We agree with the submission.</w:t>
      </w:r>
    </w:p>
    <w:p w:rsidR="00174907" w:rsidRPr="00DB4CC5" w:rsidRDefault="00174907" w:rsidP="00174907">
      <w:pPr>
        <w:rPr>
          <w:lang w:val="en-NZ"/>
        </w:rPr>
      </w:pPr>
    </w:p>
    <w:p w:rsidR="00174907" w:rsidRPr="00DB4CC5" w:rsidRDefault="00174907" w:rsidP="00174907">
      <w:pPr>
        <w:pStyle w:val="Heading2"/>
        <w:rPr>
          <w:lang w:val="en-NZ"/>
        </w:rPr>
      </w:pPr>
      <w:r w:rsidRPr="00DB4CC5">
        <w:rPr>
          <w:lang w:val="en-NZ"/>
        </w:rPr>
        <w:t>Recommendation</w:t>
      </w:r>
    </w:p>
    <w:p w:rsidR="00174907" w:rsidRPr="00DB4CC5" w:rsidRDefault="00174907" w:rsidP="00174907">
      <w:pPr>
        <w:rPr>
          <w:lang w:val="en-NZ"/>
        </w:rPr>
      </w:pPr>
    </w:p>
    <w:p w:rsidR="00174907" w:rsidRPr="00DB4CC5" w:rsidRDefault="00174907" w:rsidP="00174907">
      <w:pPr>
        <w:rPr>
          <w:lang w:val="en-NZ"/>
        </w:rPr>
      </w:pPr>
      <w:r w:rsidRPr="00DB4CC5">
        <w:rPr>
          <w:lang w:val="en-NZ"/>
        </w:rPr>
        <w:t xml:space="preserve">That the submission be </w:t>
      </w:r>
      <w:r w:rsidR="00CD70BF">
        <w:rPr>
          <w:lang w:val="en-NZ"/>
        </w:rPr>
        <w:t>accepted.</w:t>
      </w:r>
    </w:p>
    <w:p w:rsidR="00174907" w:rsidRPr="00DB4CC5" w:rsidRDefault="00174907" w:rsidP="00174907">
      <w:pPr>
        <w:pBdr>
          <w:bottom w:val="single" w:sz="4" w:space="1" w:color="auto"/>
        </w:pBdr>
        <w:rPr>
          <w:lang w:val="en-NZ"/>
        </w:rPr>
      </w:pPr>
    </w:p>
    <w:p w:rsidR="00717DBD" w:rsidRDefault="00717DBD" w:rsidP="00717DBD">
      <w:pPr>
        <w:rPr>
          <w:lang w:val="en-NZ"/>
        </w:rPr>
      </w:pPr>
    </w:p>
    <w:p w:rsidR="0021448C" w:rsidRPr="00DB4CC5" w:rsidRDefault="0021448C" w:rsidP="00717DBD">
      <w:pPr>
        <w:rPr>
          <w:lang w:val="en-NZ"/>
        </w:rPr>
      </w:pPr>
    </w:p>
    <w:p w:rsidR="00717DBD" w:rsidRPr="00DB4CC5" w:rsidRDefault="00717DBD" w:rsidP="00717DBD">
      <w:pPr>
        <w:pStyle w:val="Heading5"/>
        <w:ind w:left="794" w:hanging="794"/>
        <w:rPr>
          <w:lang w:val="en-NZ"/>
        </w:rPr>
      </w:pPr>
      <w:bookmarkStart w:id="105" w:name="_Toc432411993"/>
      <w:r w:rsidRPr="00DB4CC5">
        <w:rPr>
          <w:lang w:val="en-NZ"/>
        </w:rPr>
        <w:t>Issue:</w:t>
      </w:r>
      <w:r w:rsidRPr="00DB4CC5">
        <w:rPr>
          <w:lang w:val="en-NZ"/>
        </w:rPr>
        <w:tab/>
      </w:r>
      <w:r>
        <w:rPr>
          <w:lang w:val="en-NZ"/>
        </w:rPr>
        <w:t>Limiting expenditure requirement to expenditure that is deductible</w:t>
      </w:r>
      <w:bookmarkEnd w:id="105"/>
    </w:p>
    <w:p w:rsidR="00717DBD" w:rsidRPr="00DB4CC5" w:rsidRDefault="00717DBD" w:rsidP="00717DBD">
      <w:pPr>
        <w:rPr>
          <w:lang w:val="en-NZ"/>
        </w:rPr>
      </w:pPr>
    </w:p>
    <w:p w:rsidR="00717DBD" w:rsidRPr="00DB4CC5" w:rsidRDefault="00717DBD" w:rsidP="00717DBD">
      <w:pPr>
        <w:rPr>
          <w:lang w:val="en-NZ"/>
        </w:rPr>
      </w:pPr>
    </w:p>
    <w:p w:rsidR="00717DBD" w:rsidRPr="00DB4CC5" w:rsidRDefault="00717DBD" w:rsidP="00717DBD">
      <w:pPr>
        <w:pStyle w:val="Heading2"/>
        <w:rPr>
          <w:lang w:val="en-NZ"/>
        </w:rPr>
      </w:pPr>
      <w:r w:rsidRPr="00DB4CC5">
        <w:rPr>
          <w:lang w:val="en-NZ"/>
        </w:rPr>
        <w:t>Submission</w:t>
      </w:r>
    </w:p>
    <w:p w:rsidR="00717DBD" w:rsidRPr="00DB4CC5" w:rsidRDefault="00717DBD" w:rsidP="00717DBD">
      <w:pPr>
        <w:pStyle w:val="Heading4"/>
        <w:rPr>
          <w:lang w:val="en-NZ"/>
        </w:rPr>
      </w:pPr>
      <w:r>
        <w:rPr>
          <w:lang w:val="en-NZ"/>
        </w:rPr>
        <w:t>(</w:t>
      </w:r>
      <w:r w:rsidR="00C11A8D">
        <w:rPr>
          <w:lang w:val="en-NZ"/>
        </w:rPr>
        <w:t>P</w:t>
      </w:r>
      <w:r>
        <w:rPr>
          <w:lang w:val="en-NZ"/>
        </w:rPr>
        <w:t>w</w:t>
      </w:r>
      <w:r w:rsidR="00C11A8D">
        <w:rPr>
          <w:lang w:val="en-NZ"/>
        </w:rPr>
        <w:t>C</w:t>
      </w:r>
      <w:r>
        <w:rPr>
          <w:lang w:val="en-NZ"/>
        </w:rPr>
        <w:t>)</w:t>
      </w:r>
    </w:p>
    <w:p w:rsidR="00717DBD" w:rsidRPr="00DB4CC5" w:rsidRDefault="00717DBD" w:rsidP="00717DBD">
      <w:pPr>
        <w:tabs>
          <w:tab w:val="left" w:pos="5295"/>
        </w:tabs>
        <w:rPr>
          <w:lang w:val="en-NZ"/>
        </w:rPr>
      </w:pPr>
    </w:p>
    <w:p w:rsidR="00717DBD" w:rsidRPr="00DB4CC5" w:rsidRDefault="00717DBD" w:rsidP="00717DBD">
      <w:pPr>
        <w:rPr>
          <w:lang w:val="en-NZ"/>
        </w:rPr>
      </w:pPr>
      <w:r>
        <w:rPr>
          <w:lang w:val="en-NZ"/>
        </w:rPr>
        <w:t xml:space="preserve">Family trusts will often hold private assets and incur expenditure </w:t>
      </w:r>
      <w:r w:rsidR="00C11A8D">
        <w:rPr>
          <w:lang w:val="en-NZ"/>
        </w:rPr>
        <w:t xml:space="preserve">that </w:t>
      </w:r>
      <w:r>
        <w:rPr>
          <w:lang w:val="en-NZ"/>
        </w:rPr>
        <w:t>is not deductible for income tax purposes</w:t>
      </w:r>
      <w:r w:rsidR="00F16E3E">
        <w:rPr>
          <w:lang w:val="en-NZ"/>
        </w:rPr>
        <w:t>.  H</w:t>
      </w:r>
      <w:r w:rsidR="00A02C79">
        <w:rPr>
          <w:lang w:val="en-NZ"/>
        </w:rPr>
        <w:t>owever proposed section 43(3</w:t>
      </w:r>
      <w:proofErr w:type="gramStart"/>
      <w:r w:rsidR="00A02C79">
        <w:rPr>
          <w:lang w:val="en-NZ"/>
        </w:rPr>
        <w:t>)(</w:t>
      </w:r>
      <w:proofErr w:type="gramEnd"/>
      <w:r w:rsidR="00A02C79">
        <w:rPr>
          <w:lang w:val="en-NZ"/>
        </w:rPr>
        <w:t>b) refers to costs rather than deductions</w:t>
      </w:r>
      <w:r w:rsidR="00F16E3E">
        <w:rPr>
          <w:lang w:val="en-NZ"/>
        </w:rPr>
        <w:t>.  T</w:t>
      </w:r>
      <w:r>
        <w:rPr>
          <w:lang w:val="en-NZ"/>
        </w:rPr>
        <w:t xml:space="preserve">he provision should be clarified to confirm that it is only expenditure that would be deductible for income tax to the trust </w:t>
      </w:r>
      <w:r w:rsidR="00C11A8D">
        <w:rPr>
          <w:lang w:val="en-NZ"/>
        </w:rPr>
        <w:t xml:space="preserve">that </w:t>
      </w:r>
      <w:r>
        <w:rPr>
          <w:lang w:val="en-NZ"/>
        </w:rPr>
        <w:t>is to be considered.</w:t>
      </w:r>
    </w:p>
    <w:p w:rsidR="00717DBD" w:rsidRPr="00DB4CC5" w:rsidRDefault="00717DBD" w:rsidP="00717DBD">
      <w:pPr>
        <w:rPr>
          <w:lang w:val="en-NZ"/>
        </w:rPr>
      </w:pPr>
    </w:p>
    <w:p w:rsidR="00717DBD" w:rsidRPr="00DB4CC5" w:rsidRDefault="00717DBD" w:rsidP="00717DBD">
      <w:pPr>
        <w:pStyle w:val="Heading2"/>
        <w:rPr>
          <w:lang w:val="en-NZ"/>
        </w:rPr>
      </w:pPr>
      <w:r w:rsidRPr="00DB4CC5">
        <w:rPr>
          <w:lang w:val="en-NZ"/>
        </w:rPr>
        <w:t>Comment</w:t>
      </w:r>
    </w:p>
    <w:p w:rsidR="00717DBD" w:rsidRPr="00DB4CC5" w:rsidRDefault="00717DBD" w:rsidP="00717DBD">
      <w:pPr>
        <w:rPr>
          <w:lang w:val="en-NZ"/>
        </w:rPr>
      </w:pPr>
    </w:p>
    <w:p w:rsidR="002411B5" w:rsidRDefault="00697D0E" w:rsidP="00717DBD">
      <w:pPr>
        <w:rPr>
          <w:lang w:val="en-NZ"/>
        </w:rPr>
      </w:pPr>
      <w:r>
        <w:rPr>
          <w:lang w:val="en-NZ"/>
        </w:rPr>
        <w:t>The structure of the new provision is that subsection (2) refers to tax concepts of income and deductions</w:t>
      </w:r>
      <w:r w:rsidR="00F16E3E">
        <w:rPr>
          <w:lang w:val="en-NZ"/>
        </w:rPr>
        <w:t>.  S</w:t>
      </w:r>
      <w:r>
        <w:rPr>
          <w:lang w:val="en-NZ"/>
        </w:rPr>
        <w:t xml:space="preserve">ubsection (3) refers to </w:t>
      </w:r>
      <w:r w:rsidR="00551435">
        <w:rPr>
          <w:lang w:val="en-NZ"/>
        </w:rPr>
        <w:t>actual incomings and outgoings</w:t>
      </w:r>
      <w:r>
        <w:rPr>
          <w:lang w:val="en-NZ"/>
        </w:rPr>
        <w:t xml:space="preserve"> such as fees and bank charges</w:t>
      </w:r>
      <w:r w:rsidR="00F16E3E">
        <w:rPr>
          <w:lang w:val="en-NZ"/>
        </w:rPr>
        <w:t>.  T</w:t>
      </w:r>
      <w:r>
        <w:rPr>
          <w:lang w:val="en-NZ"/>
        </w:rPr>
        <w:t>hese concepts should not be mixed.</w:t>
      </w:r>
    </w:p>
    <w:p w:rsidR="00697D0E" w:rsidRDefault="00697D0E" w:rsidP="00717DBD">
      <w:pPr>
        <w:rPr>
          <w:lang w:val="en-NZ"/>
        </w:rPr>
      </w:pPr>
    </w:p>
    <w:p w:rsidR="00697D0E" w:rsidRPr="00DB4CC5" w:rsidRDefault="00697D0E" w:rsidP="00717DBD">
      <w:pPr>
        <w:rPr>
          <w:lang w:val="en-NZ"/>
        </w:rPr>
      </w:pPr>
      <w:r>
        <w:rPr>
          <w:lang w:val="en-NZ"/>
        </w:rPr>
        <w:t>As a result we do not support the proposed amendment</w:t>
      </w:r>
      <w:r w:rsidR="00610822">
        <w:rPr>
          <w:lang w:val="en-NZ"/>
        </w:rPr>
        <w:t>,</w:t>
      </w:r>
      <w:r>
        <w:rPr>
          <w:lang w:val="en-NZ"/>
        </w:rPr>
        <w:t xml:space="preserve"> which would incorporate tax concepts into subsection (3)</w:t>
      </w:r>
      <w:r w:rsidR="00610822">
        <w:rPr>
          <w:lang w:val="en-NZ"/>
        </w:rPr>
        <w:t>,</w:t>
      </w:r>
      <w:r>
        <w:rPr>
          <w:lang w:val="en-NZ"/>
        </w:rPr>
        <w:t xml:space="preserve"> which would be inconsistent</w:t>
      </w:r>
      <w:r w:rsidR="00551435">
        <w:rPr>
          <w:lang w:val="en-NZ"/>
        </w:rPr>
        <w:t xml:space="preserve"> with the structure</w:t>
      </w:r>
      <w:r>
        <w:rPr>
          <w:lang w:val="en-NZ"/>
        </w:rPr>
        <w:t xml:space="preserve"> of the new section.</w:t>
      </w:r>
    </w:p>
    <w:p w:rsidR="00717DBD" w:rsidRPr="00DB4CC5" w:rsidRDefault="00717DBD" w:rsidP="00717DBD">
      <w:pPr>
        <w:rPr>
          <w:lang w:val="en-NZ"/>
        </w:rPr>
      </w:pPr>
    </w:p>
    <w:p w:rsidR="00717DBD" w:rsidRPr="00DB4CC5" w:rsidRDefault="00717DBD" w:rsidP="00717DBD">
      <w:pPr>
        <w:pStyle w:val="Heading2"/>
        <w:rPr>
          <w:lang w:val="en-NZ"/>
        </w:rPr>
      </w:pPr>
      <w:r w:rsidRPr="00DB4CC5">
        <w:rPr>
          <w:lang w:val="en-NZ"/>
        </w:rPr>
        <w:t>Recommendation</w:t>
      </w:r>
    </w:p>
    <w:p w:rsidR="00717DBD" w:rsidRPr="00DB4CC5" w:rsidRDefault="00717DBD" w:rsidP="00717DBD">
      <w:pPr>
        <w:rPr>
          <w:lang w:val="en-NZ"/>
        </w:rPr>
      </w:pPr>
    </w:p>
    <w:p w:rsidR="00717DBD" w:rsidRPr="00DB4CC5" w:rsidRDefault="00717DBD" w:rsidP="00717DBD">
      <w:pPr>
        <w:rPr>
          <w:lang w:val="en-NZ"/>
        </w:rPr>
      </w:pPr>
      <w:r w:rsidRPr="00DB4CC5">
        <w:rPr>
          <w:lang w:val="en-NZ"/>
        </w:rPr>
        <w:t xml:space="preserve">That the submission be </w:t>
      </w:r>
      <w:r w:rsidR="00CC2E70">
        <w:rPr>
          <w:lang w:val="en-NZ"/>
        </w:rPr>
        <w:t>declined.</w:t>
      </w:r>
    </w:p>
    <w:p w:rsidR="00EC003E" w:rsidRPr="00DB4CC5" w:rsidRDefault="00EC003E" w:rsidP="00EC003E">
      <w:pPr>
        <w:pBdr>
          <w:bottom w:val="single" w:sz="4" w:space="1" w:color="auto"/>
        </w:pBdr>
        <w:rPr>
          <w:lang w:val="en-NZ"/>
        </w:rPr>
      </w:pPr>
    </w:p>
    <w:p w:rsidR="00EC003E" w:rsidRDefault="00EC003E" w:rsidP="00EC003E">
      <w:pPr>
        <w:rPr>
          <w:lang w:val="en-NZ"/>
        </w:rPr>
      </w:pPr>
    </w:p>
    <w:p w:rsidR="0021448C" w:rsidRPr="00DB4CC5" w:rsidRDefault="0021448C" w:rsidP="00EC003E">
      <w:pPr>
        <w:rPr>
          <w:lang w:val="en-NZ"/>
        </w:rPr>
      </w:pPr>
    </w:p>
    <w:p w:rsidR="00EC003E" w:rsidRPr="00DB4CC5" w:rsidRDefault="00EC003E" w:rsidP="00EC003E">
      <w:pPr>
        <w:pStyle w:val="Heading5"/>
        <w:ind w:left="794" w:hanging="794"/>
        <w:rPr>
          <w:lang w:val="en-NZ"/>
        </w:rPr>
      </w:pPr>
      <w:bookmarkStart w:id="106" w:name="_Toc432411994"/>
      <w:r w:rsidRPr="00DB4CC5">
        <w:rPr>
          <w:lang w:val="en-NZ"/>
        </w:rPr>
        <w:t>Issue:</w:t>
      </w:r>
      <w:r w:rsidRPr="00DB4CC5">
        <w:rPr>
          <w:lang w:val="en-NZ"/>
        </w:rPr>
        <w:tab/>
      </w:r>
      <w:r>
        <w:rPr>
          <w:lang w:val="en-NZ"/>
        </w:rPr>
        <w:t>Inland Revenue should provide guidance</w:t>
      </w:r>
      <w:bookmarkEnd w:id="106"/>
    </w:p>
    <w:p w:rsidR="00EC003E" w:rsidRPr="00DB4CC5" w:rsidRDefault="00EC003E" w:rsidP="00EC003E">
      <w:pPr>
        <w:rPr>
          <w:lang w:val="en-NZ"/>
        </w:rPr>
      </w:pPr>
    </w:p>
    <w:p w:rsidR="00EC003E" w:rsidRPr="00DB4CC5" w:rsidRDefault="00EC003E" w:rsidP="00EC003E">
      <w:pPr>
        <w:rPr>
          <w:lang w:val="en-NZ"/>
        </w:rPr>
      </w:pPr>
    </w:p>
    <w:p w:rsidR="00EC003E" w:rsidRPr="00DB4CC5" w:rsidRDefault="00EC003E" w:rsidP="00EC003E">
      <w:pPr>
        <w:pStyle w:val="Heading2"/>
        <w:rPr>
          <w:lang w:val="en-NZ"/>
        </w:rPr>
      </w:pPr>
      <w:r w:rsidRPr="00DB4CC5">
        <w:rPr>
          <w:lang w:val="en-NZ"/>
        </w:rPr>
        <w:t>Submission</w:t>
      </w:r>
    </w:p>
    <w:p w:rsidR="00EC003E" w:rsidRPr="00DB4CC5" w:rsidRDefault="00EC003E" w:rsidP="00EC003E">
      <w:pPr>
        <w:pStyle w:val="Heading4"/>
        <w:rPr>
          <w:lang w:val="en-NZ"/>
        </w:rPr>
      </w:pPr>
      <w:r>
        <w:rPr>
          <w:lang w:val="en-NZ"/>
        </w:rPr>
        <w:t>(New Zealand Law Society)</w:t>
      </w:r>
    </w:p>
    <w:p w:rsidR="00EC003E" w:rsidRPr="00DB4CC5" w:rsidRDefault="00EC003E" w:rsidP="00EC003E">
      <w:pPr>
        <w:tabs>
          <w:tab w:val="left" w:pos="5295"/>
        </w:tabs>
        <w:rPr>
          <w:lang w:val="en-NZ"/>
        </w:rPr>
      </w:pPr>
    </w:p>
    <w:p w:rsidR="00EC003E" w:rsidRDefault="00EC003E" w:rsidP="00EC003E">
      <w:pPr>
        <w:rPr>
          <w:lang w:val="en-NZ"/>
        </w:rPr>
      </w:pPr>
      <w:r>
        <w:rPr>
          <w:lang w:val="en-NZ"/>
        </w:rPr>
        <w:t>Many trusts, including trusts that own only non-income producing assets such as the family home, do not obtain an IRD number or file income tax returns.</w:t>
      </w:r>
    </w:p>
    <w:p w:rsidR="00EC003E" w:rsidRDefault="00EC003E" w:rsidP="00EC003E">
      <w:pPr>
        <w:rPr>
          <w:lang w:val="en-NZ"/>
        </w:rPr>
      </w:pPr>
    </w:p>
    <w:p w:rsidR="00EC003E" w:rsidRPr="00DB4CC5" w:rsidRDefault="00EC003E" w:rsidP="00EC003E">
      <w:pPr>
        <w:rPr>
          <w:lang w:val="en-NZ"/>
        </w:rPr>
      </w:pPr>
      <w:r>
        <w:rPr>
          <w:lang w:val="en-NZ"/>
        </w:rPr>
        <w:t>Inland Revenue should confirm that trusts that do not (and are not required to) obtain an IRD number are not required to file income tax returns if those trusts do not derive income or are not otherwise taking a tax position.</w:t>
      </w:r>
    </w:p>
    <w:p w:rsidR="00EC003E" w:rsidRPr="00DB4CC5" w:rsidRDefault="00EC003E" w:rsidP="00EC003E">
      <w:pPr>
        <w:rPr>
          <w:lang w:val="en-NZ"/>
        </w:rPr>
      </w:pPr>
    </w:p>
    <w:p w:rsidR="00EC003E" w:rsidRPr="00DB4CC5" w:rsidRDefault="00EC003E" w:rsidP="00EC003E">
      <w:pPr>
        <w:pStyle w:val="Heading2"/>
        <w:rPr>
          <w:lang w:val="en-NZ"/>
        </w:rPr>
      </w:pPr>
      <w:r w:rsidRPr="00DB4CC5">
        <w:rPr>
          <w:lang w:val="en-NZ"/>
        </w:rPr>
        <w:t>Comment</w:t>
      </w:r>
    </w:p>
    <w:p w:rsidR="00EC003E" w:rsidRPr="00DB4CC5" w:rsidRDefault="00EC003E" w:rsidP="00EC003E">
      <w:pPr>
        <w:rPr>
          <w:lang w:val="en-NZ"/>
        </w:rPr>
      </w:pPr>
    </w:p>
    <w:p w:rsidR="00EC003E" w:rsidRPr="00DB4CC5" w:rsidRDefault="00EC003E" w:rsidP="00EC003E">
      <w:pPr>
        <w:rPr>
          <w:lang w:val="en-NZ"/>
        </w:rPr>
      </w:pPr>
      <w:r>
        <w:rPr>
          <w:lang w:val="en-NZ"/>
        </w:rPr>
        <w:t>The proposed amendment will provide that complying trusts that do not have any income or deductions</w:t>
      </w:r>
      <w:r w:rsidR="00551435">
        <w:rPr>
          <w:lang w:val="en-NZ"/>
        </w:rPr>
        <w:t xml:space="preserve"> (as defined in the provision)</w:t>
      </w:r>
      <w:r>
        <w:rPr>
          <w:lang w:val="en-NZ"/>
        </w:rPr>
        <w:t xml:space="preserve"> do not have to file returns</w:t>
      </w:r>
      <w:r w:rsidR="00F16E3E">
        <w:rPr>
          <w:lang w:val="en-NZ"/>
        </w:rPr>
        <w:t>.  T</w:t>
      </w:r>
      <w:r w:rsidR="00551435">
        <w:rPr>
          <w:lang w:val="en-NZ"/>
        </w:rPr>
        <w:t>he provision will be explained</w:t>
      </w:r>
      <w:r w:rsidR="00136F84">
        <w:rPr>
          <w:lang w:val="en-NZ"/>
        </w:rPr>
        <w:t xml:space="preserve"> in the </w:t>
      </w:r>
      <w:r w:rsidR="00136F84" w:rsidRPr="009B557D">
        <w:rPr>
          <w:i/>
          <w:lang w:val="en-NZ"/>
        </w:rPr>
        <w:t>Tax Information Bulletin</w:t>
      </w:r>
      <w:r w:rsidR="00243C13">
        <w:rPr>
          <w:i/>
          <w:lang w:val="en-NZ"/>
        </w:rPr>
        <w:t xml:space="preserve"> </w:t>
      </w:r>
      <w:r w:rsidR="00243C13">
        <w:rPr>
          <w:lang w:val="en-NZ"/>
        </w:rPr>
        <w:t>for the bill</w:t>
      </w:r>
      <w:r w:rsidR="00136F84" w:rsidRPr="009B557D">
        <w:rPr>
          <w:i/>
          <w:lang w:val="en-NZ"/>
        </w:rPr>
        <w:t>.</w:t>
      </w:r>
    </w:p>
    <w:p w:rsidR="00EC003E" w:rsidRPr="00DB4CC5" w:rsidRDefault="00EC003E" w:rsidP="00EC003E">
      <w:pPr>
        <w:rPr>
          <w:lang w:val="en-NZ"/>
        </w:rPr>
      </w:pPr>
    </w:p>
    <w:p w:rsidR="00EC003E" w:rsidRPr="00DB4CC5" w:rsidRDefault="00EC003E" w:rsidP="00EC003E">
      <w:pPr>
        <w:pStyle w:val="Heading2"/>
        <w:rPr>
          <w:lang w:val="en-NZ"/>
        </w:rPr>
      </w:pPr>
      <w:r w:rsidRPr="00DB4CC5">
        <w:rPr>
          <w:lang w:val="en-NZ"/>
        </w:rPr>
        <w:t>Recommendation</w:t>
      </w:r>
    </w:p>
    <w:p w:rsidR="00EC003E" w:rsidRPr="00DB4CC5" w:rsidRDefault="00EC003E" w:rsidP="00EC003E">
      <w:pPr>
        <w:rPr>
          <w:lang w:val="en-NZ"/>
        </w:rPr>
      </w:pPr>
    </w:p>
    <w:p w:rsidR="00EC003E" w:rsidRPr="00DB4CC5" w:rsidRDefault="00EC003E" w:rsidP="00EC003E">
      <w:pPr>
        <w:rPr>
          <w:lang w:val="en-NZ"/>
        </w:rPr>
      </w:pPr>
      <w:r w:rsidRPr="00DB4CC5">
        <w:rPr>
          <w:lang w:val="en-NZ"/>
        </w:rPr>
        <w:t xml:space="preserve">That the submission be </w:t>
      </w:r>
      <w:r>
        <w:rPr>
          <w:lang w:val="en-NZ"/>
        </w:rPr>
        <w:t>noted.</w:t>
      </w:r>
    </w:p>
    <w:p w:rsidR="00C62615" w:rsidRPr="00DB4CC5" w:rsidRDefault="00C62615" w:rsidP="00C62615">
      <w:pPr>
        <w:pBdr>
          <w:bottom w:val="single" w:sz="4" w:space="1" w:color="auto"/>
        </w:pBdr>
        <w:rPr>
          <w:lang w:val="en-NZ"/>
        </w:rPr>
      </w:pPr>
    </w:p>
    <w:p w:rsidR="00C62615" w:rsidRDefault="00C62615" w:rsidP="00C62615">
      <w:pPr>
        <w:rPr>
          <w:lang w:val="en-NZ"/>
        </w:rPr>
      </w:pPr>
    </w:p>
    <w:p w:rsidR="0021448C" w:rsidRPr="00DB4CC5" w:rsidRDefault="0021448C" w:rsidP="00C62615">
      <w:pPr>
        <w:rPr>
          <w:lang w:val="en-NZ"/>
        </w:rPr>
      </w:pPr>
    </w:p>
    <w:p w:rsidR="00C62615" w:rsidRPr="00DB4CC5" w:rsidRDefault="00C62615" w:rsidP="00C62615">
      <w:pPr>
        <w:pStyle w:val="Heading5"/>
        <w:ind w:left="794" w:hanging="794"/>
        <w:rPr>
          <w:lang w:val="en-NZ"/>
        </w:rPr>
      </w:pPr>
      <w:bookmarkStart w:id="107" w:name="_Toc432411995"/>
      <w:r w:rsidRPr="00DB4CC5">
        <w:rPr>
          <w:lang w:val="en-NZ"/>
        </w:rPr>
        <w:t>Issue:</w:t>
      </w:r>
      <w:r w:rsidRPr="00DB4CC5">
        <w:rPr>
          <w:lang w:val="en-NZ"/>
        </w:rPr>
        <w:tab/>
      </w:r>
      <w:r>
        <w:rPr>
          <w:lang w:val="en-NZ"/>
        </w:rPr>
        <w:t>Net filing income threshold for individuals</w:t>
      </w:r>
      <w:bookmarkEnd w:id="107"/>
    </w:p>
    <w:p w:rsidR="00C62615" w:rsidRPr="00DB4CC5" w:rsidRDefault="00C62615" w:rsidP="00C62615">
      <w:pPr>
        <w:rPr>
          <w:lang w:val="en-NZ"/>
        </w:rPr>
      </w:pPr>
    </w:p>
    <w:p w:rsidR="00C62615" w:rsidRPr="00DB4CC5" w:rsidRDefault="00C62615" w:rsidP="00C62615">
      <w:pPr>
        <w:rPr>
          <w:lang w:val="en-NZ"/>
        </w:rPr>
      </w:pPr>
    </w:p>
    <w:p w:rsidR="00C62615" w:rsidRPr="00DB4CC5" w:rsidRDefault="00C62615" w:rsidP="00C62615">
      <w:pPr>
        <w:pStyle w:val="Heading2"/>
        <w:rPr>
          <w:lang w:val="en-NZ"/>
        </w:rPr>
      </w:pPr>
      <w:r w:rsidRPr="00DB4CC5">
        <w:rPr>
          <w:lang w:val="en-NZ"/>
        </w:rPr>
        <w:t>Submission</w:t>
      </w:r>
    </w:p>
    <w:p w:rsidR="00C62615" w:rsidRPr="00DB4CC5" w:rsidRDefault="00C62615" w:rsidP="00C62615">
      <w:pPr>
        <w:pStyle w:val="Heading4"/>
        <w:rPr>
          <w:lang w:val="en-NZ"/>
        </w:rPr>
      </w:pPr>
      <w:r>
        <w:rPr>
          <w:lang w:val="en-NZ"/>
        </w:rPr>
        <w:t>(KPMG)</w:t>
      </w:r>
    </w:p>
    <w:p w:rsidR="00C62615" w:rsidRPr="00DB4CC5" w:rsidRDefault="00C62615" w:rsidP="00C62615">
      <w:pPr>
        <w:tabs>
          <w:tab w:val="left" w:pos="5295"/>
        </w:tabs>
        <w:rPr>
          <w:lang w:val="en-NZ"/>
        </w:rPr>
      </w:pPr>
    </w:p>
    <w:p w:rsidR="00C62615" w:rsidRPr="00DB4CC5" w:rsidRDefault="00C62615" w:rsidP="00C62615">
      <w:pPr>
        <w:rPr>
          <w:lang w:val="en-NZ"/>
        </w:rPr>
      </w:pPr>
      <w:r>
        <w:rPr>
          <w:lang w:val="en-NZ"/>
        </w:rPr>
        <w:t>The $200 non-filing income threshold for individuals has been unchanged for over 15</w:t>
      </w:r>
      <w:r w:rsidR="00194DFB">
        <w:rPr>
          <w:lang w:val="en-NZ"/>
        </w:rPr>
        <w:t> </w:t>
      </w:r>
      <w:r>
        <w:rPr>
          <w:lang w:val="en-NZ"/>
        </w:rPr>
        <w:t>years</w:t>
      </w:r>
      <w:r w:rsidR="00F16E3E">
        <w:rPr>
          <w:lang w:val="en-NZ"/>
        </w:rPr>
        <w:t>.  I</w:t>
      </w:r>
      <w:r>
        <w:rPr>
          <w:lang w:val="en-NZ"/>
        </w:rPr>
        <w:t>t is therefore timely for this to be increased to take into account inflation</w:t>
      </w:r>
      <w:r w:rsidR="00F16E3E">
        <w:rPr>
          <w:lang w:val="en-NZ"/>
        </w:rPr>
        <w:t>.  A</w:t>
      </w:r>
      <w:r>
        <w:rPr>
          <w:lang w:val="en-NZ"/>
        </w:rPr>
        <w:t xml:space="preserve"> $500 net income threshold, for both individuals and non-individuals is more reasonable.</w:t>
      </w:r>
    </w:p>
    <w:p w:rsidR="00C62615" w:rsidRPr="00DB4CC5" w:rsidRDefault="00C62615" w:rsidP="00C62615">
      <w:pPr>
        <w:rPr>
          <w:lang w:val="en-NZ"/>
        </w:rPr>
      </w:pPr>
    </w:p>
    <w:p w:rsidR="00C62615" w:rsidRPr="00DB4CC5" w:rsidRDefault="00C62615" w:rsidP="00C62615">
      <w:pPr>
        <w:pStyle w:val="Heading2"/>
        <w:rPr>
          <w:lang w:val="en-NZ"/>
        </w:rPr>
      </w:pPr>
      <w:r w:rsidRPr="00DB4CC5">
        <w:rPr>
          <w:lang w:val="en-NZ"/>
        </w:rPr>
        <w:t>Comment</w:t>
      </w:r>
    </w:p>
    <w:p w:rsidR="00C62615" w:rsidRPr="00DB4CC5" w:rsidRDefault="00C62615" w:rsidP="00C62615">
      <w:pPr>
        <w:rPr>
          <w:lang w:val="en-NZ"/>
        </w:rPr>
      </w:pPr>
    </w:p>
    <w:p w:rsidR="00C62615" w:rsidRPr="00DB4CC5" w:rsidRDefault="00C62615" w:rsidP="00C62615">
      <w:pPr>
        <w:rPr>
          <w:lang w:val="en-NZ"/>
        </w:rPr>
      </w:pPr>
      <w:r>
        <w:rPr>
          <w:lang w:val="en-NZ"/>
        </w:rPr>
        <w:t>This submission refers to matters that are not part of the bill.</w:t>
      </w:r>
    </w:p>
    <w:p w:rsidR="00C62615" w:rsidRPr="00DB4CC5" w:rsidRDefault="00C62615" w:rsidP="00C62615">
      <w:pPr>
        <w:rPr>
          <w:lang w:val="en-NZ"/>
        </w:rPr>
      </w:pPr>
    </w:p>
    <w:p w:rsidR="00C62615" w:rsidRPr="00DB4CC5" w:rsidRDefault="00C62615" w:rsidP="00C62615">
      <w:pPr>
        <w:pStyle w:val="Heading2"/>
        <w:rPr>
          <w:lang w:val="en-NZ"/>
        </w:rPr>
      </w:pPr>
      <w:r w:rsidRPr="00DB4CC5">
        <w:rPr>
          <w:lang w:val="en-NZ"/>
        </w:rPr>
        <w:t>Recommendation</w:t>
      </w:r>
    </w:p>
    <w:p w:rsidR="00C62615" w:rsidRPr="00DB4CC5" w:rsidRDefault="00C62615" w:rsidP="00C62615">
      <w:pPr>
        <w:rPr>
          <w:lang w:val="en-NZ"/>
        </w:rPr>
      </w:pPr>
    </w:p>
    <w:p w:rsidR="00C62615" w:rsidRPr="00DB4CC5" w:rsidRDefault="00C62615" w:rsidP="00C62615">
      <w:pPr>
        <w:rPr>
          <w:lang w:val="en-NZ"/>
        </w:rPr>
      </w:pPr>
      <w:r w:rsidRPr="00DB4CC5">
        <w:rPr>
          <w:lang w:val="en-NZ"/>
        </w:rPr>
        <w:t xml:space="preserve">That the submission be </w:t>
      </w:r>
      <w:r>
        <w:rPr>
          <w:lang w:val="en-NZ"/>
        </w:rPr>
        <w:t>declined.</w:t>
      </w:r>
    </w:p>
    <w:p w:rsidR="00271933" w:rsidRPr="00DB4CC5" w:rsidRDefault="00271933" w:rsidP="00271933">
      <w:pPr>
        <w:pBdr>
          <w:bottom w:val="single" w:sz="4" w:space="1" w:color="auto"/>
        </w:pBdr>
        <w:rPr>
          <w:lang w:val="en-NZ"/>
        </w:rPr>
      </w:pPr>
    </w:p>
    <w:p w:rsidR="00271933" w:rsidRDefault="00271933" w:rsidP="00271933">
      <w:pPr>
        <w:rPr>
          <w:lang w:val="en-NZ"/>
        </w:rPr>
      </w:pPr>
    </w:p>
    <w:p w:rsidR="00E5747E" w:rsidRPr="00DB4CC5" w:rsidRDefault="00E5747E" w:rsidP="00271933">
      <w:pPr>
        <w:rPr>
          <w:lang w:val="en-NZ"/>
        </w:rPr>
      </w:pPr>
    </w:p>
    <w:p w:rsidR="00271933" w:rsidRPr="00DB4CC5" w:rsidRDefault="00271933" w:rsidP="00271933">
      <w:pPr>
        <w:pStyle w:val="Heading5"/>
        <w:ind w:left="794" w:hanging="794"/>
        <w:rPr>
          <w:lang w:val="en-NZ"/>
        </w:rPr>
      </w:pPr>
      <w:bookmarkStart w:id="108" w:name="_Toc432411996"/>
      <w:r w:rsidRPr="00DB4CC5">
        <w:rPr>
          <w:lang w:val="en-NZ"/>
        </w:rPr>
        <w:t>Issue:</w:t>
      </w:r>
      <w:r w:rsidRPr="00DB4CC5">
        <w:rPr>
          <w:lang w:val="en-NZ"/>
        </w:rPr>
        <w:tab/>
      </w:r>
      <w:r w:rsidR="00546498">
        <w:rPr>
          <w:lang w:val="en-NZ"/>
        </w:rPr>
        <w:t>Defining “professional trustee”</w:t>
      </w:r>
      <w:bookmarkEnd w:id="108"/>
    </w:p>
    <w:p w:rsidR="00271933" w:rsidRPr="00DB4CC5" w:rsidRDefault="00271933" w:rsidP="00271933">
      <w:pPr>
        <w:rPr>
          <w:lang w:val="en-NZ"/>
        </w:rPr>
      </w:pPr>
    </w:p>
    <w:p w:rsidR="00271933" w:rsidRPr="00DB4CC5" w:rsidRDefault="00271933" w:rsidP="00271933">
      <w:pPr>
        <w:rPr>
          <w:lang w:val="en-NZ"/>
        </w:rPr>
      </w:pPr>
    </w:p>
    <w:p w:rsidR="00271933" w:rsidRPr="00DB4CC5" w:rsidRDefault="00271933" w:rsidP="00271933">
      <w:pPr>
        <w:pStyle w:val="Heading2"/>
        <w:rPr>
          <w:lang w:val="en-NZ"/>
        </w:rPr>
      </w:pPr>
      <w:r w:rsidRPr="00DB4CC5">
        <w:rPr>
          <w:lang w:val="en-NZ"/>
        </w:rPr>
        <w:t>Submission</w:t>
      </w:r>
    </w:p>
    <w:p w:rsidR="00271933" w:rsidRPr="00DB4CC5" w:rsidRDefault="00546498" w:rsidP="00271933">
      <w:pPr>
        <w:pStyle w:val="Heading4"/>
        <w:rPr>
          <w:lang w:val="en-NZ"/>
        </w:rPr>
      </w:pPr>
      <w:r>
        <w:rPr>
          <w:lang w:val="en-NZ"/>
        </w:rPr>
        <w:t>(Matter raised by officials)</w:t>
      </w:r>
    </w:p>
    <w:p w:rsidR="00271933" w:rsidRPr="00DB4CC5" w:rsidRDefault="00271933" w:rsidP="00271933">
      <w:pPr>
        <w:tabs>
          <w:tab w:val="left" w:pos="5295"/>
        </w:tabs>
        <w:rPr>
          <w:lang w:val="en-NZ"/>
        </w:rPr>
      </w:pPr>
    </w:p>
    <w:p w:rsidR="00271933" w:rsidRPr="00DB4CC5" w:rsidRDefault="00546498" w:rsidP="00271933">
      <w:pPr>
        <w:rPr>
          <w:lang w:val="en-NZ"/>
        </w:rPr>
      </w:pPr>
      <w:r>
        <w:rPr>
          <w:lang w:val="en-NZ"/>
        </w:rPr>
        <w:t xml:space="preserve">We consider it preferable to define what </w:t>
      </w:r>
      <w:proofErr w:type="gramStart"/>
      <w:r>
        <w:rPr>
          <w:lang w:val="en-NZ"/>
        </w:rPr>
        <w:t>is a “professional trustee”</w:t>
      </w:r>
      <w:proofErr w:type="gramEnd"/>
      <w:r>
        <w:rPr>
          <w:lang w:val="en-NZ"/>
        </w:rPr>
        <w:t xml:space="preserve"> for the purposes of this amendment</w:t>
      </w:r>
      <w:r w:rsidR="00C11A8D">
        <w:rPr>
          <w:lang w:val="en-NZ"/>
        </w:rPr>
        <w:t>.</w:t>
      </w:r>
    </w:p>
    <w:p w:rsidR="00271933" w:rsidRDefault="00271933" w:rsidP="00271933">
      <w:pPr>
        <w:rPr>
          <w:lang w:val="en-NZ"/>
        </w:rPr>
      </w:pPr>
    </w:p>
    <w:p w:rsidR="00546498" w:rsidRDefault="00546498" w:rsidP="00546498">
      <w:pPr>
        <w:rPr>
          <w:lang w:val="en-NZ"/>
        </w:rPr>
      </w:pPr>
      <w:r>
        <w:rPr>
          <w:lang w:val="en-NZ"/>
        </w:rPr>
        <w:t>We consider that using the definition contained in section 13C of the Trustee Act would be appropriate</w:t>
      </w:r>
      <w:r w:rsidR="00F16E3E">
        <w:rPr>
          <w:lang w:val="en-NZ"/>
        </w:rPr>
        <w:t>.  S</w:t>
      </w:r>
      <w:r w:rsidR="006E3535">
        <w:rPr>
          <w:lang w:val="en-NZ"/>
        </w:rPr>
        <w:t>ection 13C of the Trustee Act</w:t>
      </w:r>
      <w:r w:rsidR="00814FFB">
        <w:rPr>
          <w:lang w:val="en-NZ"/>
        </w:rPr>
        <w:t xml:space="preserve"> 1956</w:t>
      </w:r>
      <w:r w:rsidR="006E3535">
        <w:rPr>
          <w:lang w:val="en-NZ"/>
        </w:rPr>
        <w:t xml:space="preserve"> defines a professional trustee as a person “</w:t>
      </w:r>
      <w:r w:rsidR="006E3535">
        <w:t>where a trustee’s profession, employment, or business is or includes acting as a trustee or inve</w:t>
      </w:r>
      <w:r w:rsidR="00392469">
        <w:t>sting money on behalf of others</w:t>
      </w:r>
      <w:r w:rsidR="006E3535">
        <w:t>”.</w:t>
      </w:r>
    </w:p>
    <w:p w:rsidR="00546498" w:rsidRPr="00DB4CC5" w:rsidRDefault="00546498" w:rsidP="00271933">
      <w:pPr>
        <w:rPr>
          <w:lang w:val="en-NZ"/>
        </w:rPr>
      </w:pPr>
    </w:p>
    <w:p w:rsidR="00271933" w:rsidRPr="00DB4CC5" w:rsidRDefault="00271933" w:rsidP="00271933">
      <w:pPr>
        <w:pStyle w:val="Heading2"/>
        <w:rPr>
          <w:lang w:val="en-NZ"/>
        </w:rPr>
      </w:pPr>
      <w:r w:rsidRPr="00DB4CC5">
        <w:rPr>
          <w:lang w:val="en-NZ"/>
        </w:rPr>
        <w:t>Comment</w:t>
      </w:r>
    </w:p>
    <w:p w:rsidR="00271933" w:rsidRDefault="00271933" w:rsidP="00271933">
      <w:pPr>
        <w:rPr>
          <w:lang w:val="en-NZ"/>
        </w:rPr>
      </w:pPr>
    </w:p>
    <w:p w:rsidR="00546498" w:rsidRPr="00DB4CC5" w:rsidRDefault="00546498" w:rsidP="00271933">
      <w:pPr>
        <w:rPr>
          <w:lang w:val="en-NZ"/>
        </w:rPr>
      </w:pPr>
      <w:r>
        <w:rPr>
          <w:lang w:val="en-NZ"/>
        </w:rPr>
        <w:t>We consider the proposed definition would help provide greater clarity in the legislation.</w:t>
      </w:r>
    </w:p>
    <w:p w:rsidR="00271933" w:rsidRPr="00DB4CC5" w:rsidRDefault="00271933" w:rsidP="00271933">
      <w:pPr>
        <w:rPr>
          <w:lang w:val="en-NZ"/>
        </w:rPr>
      </w:pPr>
    </w:p>
    <w:p w:rsidR="00271933" w:rsidRPr="00DB4CC5" w:rsidRDefault="00271933" w:rsidP="00271933">
      <w:pPr>
        <w:pStyle w:val="Heading2"/>
        <w:rPr>
          <w:lang w:val="en-NZ"/>
        </w:rPr>
      </w:pPr>
      <w:r w:rsidRPr="00DB4CC5">
        <w:rPr>
          <w:lang w:val="en-NZ"/>
        </w:rPr>
        <w:t>Recommendation</w:t>
      </w:r>
    </w:p>
    <w:p w:rsidR="00271933" w:rsidRPr="00DB4CC5" w:rsidRDefault="00271933" w:rsidP="00271933">
      <w:pPr>
        <w:rPr>
          <w:lang w:val="en-NZ"/>
        </w:rPr>
      </w:pPr>
    </w:p>
    <w:p w:rsidR="00271933" w:rsidRPr="00DB4CC5" w:rsidRDefault="00271933" w:rsidP="00271933">
      <w:pPr>
        <w:rPr>
          <w:lang w:val="en-NZ"/>
        </w:rPr>
      </w:pPr>
      <w:r w:rsidRPr="00DB4CC5">
        <w:rPr>
          <w:lang w:val="en-NZ"/>
        </w:rPr>
        <w:t xml:space="preserve">That the submission be </w:t>
      </w:r>
      <w:r w:rsidR="00546498">
        <w:rPr>
          <w:lang w:val="en-NZ"/>
        </w:rPr>
        <w:t>accepted</w:t>
      </w:r>
      <w:r>
        <w:rPr>
          <w:lang w:val="en-NZ"/>
        </w:rPr>
        <w:t>.</w:t>
      </w:r>
    </w:p>
    <w:p w:rsidR="00717DBD" w:rsidRPr="00DB4CC5" w:rsidRDefault="00717DBD" w:rsidP="00717DBD">
      <w:pPr>
        <w:rPr>
          <w:lang w:val="en-NZ"/>
        </w:rPr>
      </w:pPr>
    </w:p>
    <w:p w:rsidR="0051706A" w:rsidRDefault="0051706A">
      <w:pPr>
        <w:jc w:val="left"/>
        <w:rPr>
          <w:lang w:val="en-NZ"/>
        </w:rPr>
      </w:pPr>
    </w:p>
    <w:p w:rsidR="00174907" w:rsidRPr="00DB4CC5" w:rsidRDefault="00174907" w:rsidP="00174907">
      <w:pPr>
        <w:rPr>
          <w:lang w:val="en-NZ"/>
        </w:rPr>
      </w:pPr>
    </w:p>
    <w:p w:rsidR="00C767F5" w:rsidRPr="00DB4CC5" w:rsidRDefault="00C767F5" w:rsidP="00C767F5">
      <w:pPr>
        <w:rPr>
          <w:lang w:val="en-NZ"/>
        </w:rPr>
      </w:pPr>
    </w:p>
    <w:p w:rsidR="008D5919" w:rsidRPr="00DB4CC5" w:rsidRDefault="008D5919" w:rsidP="008D5919">
      <w:pPr>
        <w:rPr>
          <w:lang w:val="en-NZ"/>
        </w:rPr>
      </w:pPr>
    </w:p>
    <w:p w:rsidR="008D5919" w:rsidRPr="00DB4CC5" w:rsidRDefault="008D5919" w:rsidP="008D5919">
      <w:pPr>
        <w:rPr>
          <w:lang w:val="en-NZ"/>
        </w:rPr>
      </w:pPr>
    </w:p>
    <w:p w:rsidR="007E69C1" w:rsidRPr="00DB4CC5" w:rsidRDefault="007E69C1" w:rsidP="00536A68">
      <w:pPr>
        <w:rPr>
          <w:lang w:val="en-NZ"/>
        </w:rPr>
      </w:pPr>
    </w:p>
    <w:p w:rsidR="003B6D6D" w:rsidRPr="00DB4CC5" w:rsidRDefault="003B6D6D" w:rsidP="00536A68">
      <w:pPr>
        <w:rPr>
          <w:lang w:val="en-NZ"/>
        </w:rPr>
        <w:sectPr w:rsidR="003B6D6D" w:rsidRPr="00DB4CC5" w:rsidSect="00AD47EB">
          <w:footerReference w:type="even" r:id="rId23"/>
          <w:footerReference w:type="default" r:id="rId24"/>
          <w:footerReference w:type="first" r:id="rId25"/>
          <w:type w:val="oddPage"/>
          <w:pgSz w:w="11906" w:h="16838" w:code="9"/>
          <w:pgMar w:top="1304" w:right="1797" w:bottom="1134" w:left="1797" w:header="720" w:footer="567" w:gutter="0"/>
          <w:cols w:space="720"/>
          <w:titlePg/>
        </w:sectPr>
      </w:pPr>
    </w:p>
    <w:p w:rsidR="00490891" w:rsidRPr="00DB4CC5" w:rsidRDefault="00490891" w:rsidP="00536A68">
      <w:pPr>
        <w:pStyle w:val="Heading1"/>
        <w:pBdr>
          <w:bottom w:val="none" w:sz="0" w:space="0" w:color="auto"/>
        </w:pBdr>
        <w:jc w:val="center"/>
        <w:rPr>
          <w:b w:val="0"/>
          <w:sz w:val="52"/>
        </w:rPr>
      </w:pPr>
    </w:p>
    <w:p w:rsidR="00490891" w:rsidRPr="00DB4CC5" w:rsidRDefault="00490891" w:rsidP="00536A68">
      <w:pPr>
        <w:pStyle w:val="Heading1"/>
        <w:pBdr>
          <w:bottom w:val="none" w:sz="0" w:space="0" w:color="auto"/>
        </w:pBdr>
        <w:jc w:val="center"/>
        <w:rPr>
          <w:b w:val="0"/>
          <w:sz w:val="52"/>
        </w:rPr>
      </w:pPr>
    </w:p>
    <w:p w:rsidR="00490891" w:rsidRPr="00DB4CC5" w:rsidRDefault="00490891" w:rsidP="00536A68">
      <w:pPr>
        <w:jc w:val="center"/>
        <w:rPr>
          <w:sz w:val="52"/>
          <w:lang w:val="en-NZ"/>
        </w:rPr>
      </w:pPr>
    </w:p>
    <w:p w:rsidR="00D11DD4" w:rsidRPr="00DB4CC5" w:rsidRDefault="00D11DD4" w:rsidP="00536A68">
      <w:pPr>
        <w:jc w:val="center"/>
        <w:rPr>
          <w:sz w:val="52"/>
          <w:lang w:val="en-NZ"/>
        </w:rPr>
      </w:pPr>
    </w:p>
    <w:p w:rsidR="003B6D6D" w:rsidRPr="00DB4CC5" w:rsidRDefault="003B6D6D" w:rsidP="00536A68">
      <w:pPr>
        <w:jc w:val="center"/>
        <w:rPr>
          <w:sz w:val="52"/>
          <w:lang w:val="en-NZ"/>
        </w:rPr>
      </w:pPr>
    </w:p>
    <w:p w:rsidR="00490891" w:rsidRPr="00DB4CC5" w:rsidRDefault="00490891" w:rsidP="00536A68">
      <w:pPr>
        <w:jc w:val="center"/>
        <w:rPr>
          <w:sz w:val="52"/>
          <w:lang w:val="en-NZ"/>
        </w:rPr>
      </w:pPr>
    </w:p>
    <w:p w:rsidR="00490891" w:rsidRPr="00DB4CC5" w:rsidRDefault="0061002A" w:rsidP="00536A68">
      <w:pPr>
        <w:pStyle w:val="PartHeading"/>
        <w:pBdr>
          <w:top w:val="single" w:sz="4" w:space="10" w:color="auto"/>
          <w:bottom w:val="single" w:sz="4" w:space="10" w:color="auto"/>
        </w:pBdr>
        <w:spacing w:after="200"/>
      </w:pPr>
      <w:bookmarkStart w:id="109" w:name="_Toc432411997"/>
      <w:r w:rsidRPr="00DB4CC5">
        <w:rPr>
          <w:caps w:val="0"/>
        </w:rPr>
        <w:t>Remedial amendments</w:t>
      </w:r>
      <w:bookmarkEnd w:id="109"/>
    </w:p>
    <w:p w:rsidR="0051706A" w:rsidRDefault="0051706A">
      <w:pPr>
        <w:jc w:val="left"/>
        <w:rPr>
          <w:caps/>
          <w:sz w:val="60"/>
          <w:lang w:val="en-NZ"/>
        </w:rPr>
      </w:pPr>
      <w:r>
        <w:br w:type="page"/>
      </w:r>
    </w:p>
    <w:p w:rsidR="00490891" w:rsidRPr="00DB4CC5" w:rsidRDefault="00490891" w:rsidP="00536A68">
      <w:pPr>
        <w:pStyle w:val="PartHeading"/>
        <w:pBdr>
          <w:top w:val="none" w:sz="0" w:space="0" w:color="auto"/>
          <w:bottom w:val="none" w:sz="0" w:space="0" w:color="auto"/>
        </w:pBdr>
      </w:pPr>
    </w:p>
    <w:p w:rsidR="00490891" w:rsidRPr="00DB4CC5" w:rsidRDefault="00490891" w:rsidP="00536A68">
      <w:pPr>
        <w:pStyle w:val="PartHeading"/>
        <w:pBdr>
          <w:top w:val="none" w:sz="0" w:space="0" w:color="auto"/>
          <w:bottom w:val="none" w:sz="0" w:space="0" w:color="auto"/>
        </w:pBdr>
        <w:sectPr w:rsidR="00490891" w:rsidRPr="00DB4CC5" w:rsidSect="00AD47EB">
          <w:type w:val="oddPage"/>
          <w:pgSz w:w="11906" w:h="16838" w:code="9"/>
          <w:pgMar w:top="1304" w:right="1797" w:bottom="1134" w:left="1797" w:header="720" w:footer="567" w:gutter="0"/>
          <w:cols w:space="720"/>
          <w:titlePg/>
        </w:sectPr>
      </w:pPr>
    </w:p>
    <w:p w:rsidR="00DA6473" w:rsidRPr="00DB4CC5" w:rsidRDefault="0084177D" w:rsidP="00DA6473">
      <w:pPr>
        <w:pStyle w:val="Heading1"/>
      </w:pPr>
      <w:bookmarkStart w:id="110" w:name="_Toc432411998"/>
      <w:r>
        <w:t>Amalgamations</w:t>
      </w:r>
      <w:r w:rsidR="00103246">
        <w:t xml:space="preserve"> </w:t>
      </w:r>
      <w:r w:rsidR="00A5348C">
        <w:t>–</w:t>
      </w:r>
      <w:r w:rsidR="00103246">
        <w:t xml:space="preserve"> Reference to amalgamating and amalgamated companies</w:t>
      </w:r>
      <w:bookmarkEnd w:id="110"/>
    </w:p>
    <w:p w:rsidR="00DA6473" w:rsidRPr="00DB4CC5" w:rsidRDefault="00DA6473" w:rsidP="00DA6473">
      <w:pPr>
        <w:rPr>
          <w:lang w:val="en-NZ"/>
        </w:rPr>
      </w:pPr>
    </w:p>
    <w:p w:rsidR="00DA6473" w:rsidRDefault="00416D3A" w:rsidP="00416D3A">
      <w:pPr>
        <w:pStyle w:val="Heading3"/>
        <w:rPr>
          <w:lang w:val="en-NZ"/>
        </w:rPr>
      </w:pPr>
      <w:r>
        <w:rPr>
          <w:lang w:val="en-NZ"/>
        </w:rPr>
        <w:t>Clause</w:t>
      </w:r>
      <w:r w:rsidR="00CD70BF">
        <w:rPr>
          <w:lang w:val="en-NZ"/>
        </w:rPr>
        <w:t xml:space="preserve"> 13</w:t>
      </w:r>
    </w:p>
    <w:p w:rsidR="00416D3A" w:rsidRDefault="00416D3A" w:rsidP="00DA6473">
      <w:pPr>
        <w:rPr>
          <w:lang w:val="en-NZ"/>
        </w:rPr>
      </w:pPr>
    </w:p>
    <w:p w:rsidR="00DA6473" w:rsidRPr="00DB4CC5" w:rsidRDefault="00DA6473" w:rsidP="00DA6473">
      <w:pPr>
        <w:rPr>
          <w:lang w:val="en-NZ"/>
        </w:rPr>
      </w:pPr>
    </w:p>
    <w:p w:rsidR="00DA6473" w:rsidRPr="00DB4CC5" w:rsidRDefault="00DA6473" w:rsidP="00DA6473">
      <w:pPr>
        <w:pStyle w:val="Heading2"/>
        <w:rPr>
          <w:lang w:val="en-NZ"/>
        </w:rPr>
      </w:pPr>
      <w:r w:rsidRPr="00DB4CC5">
        <w:rPr>
          <w:lang w:val="en-NZ"/>
        </w:rPr>
        <w:t>Submission</w:t>
      </w:r>
    </w:p>
    <w:p w:rsidR="00DA6473" w:rsidRPr="00DB4CC5" w:rsidRDefault="00A42C4D" w:rsidP="00DA6473">
      <w:pPr>
        <w:pStyle w:val="Heading4"/>
        <w:rPr>
          <w:lang w:val="en-NZ"/>
        </w:rPr>
      </w:pPr>
      <w:r>
        <w:rPr>
          <w:lang w:val="en-NZ"/>
        </w:rPr>
        <w:t xml:space="preserve">(EY, </w:t>
      </w:r>
      <w:proofErr w:type="spellStart"/>
      <w:r>
        <w:rPr>
          <w:lang w:val="en-NZ"/>
        </w:rPr>
        <w:t>nsaTax</w:t>
      </w:r>
      <w:proofErr w:type="spellEnd"/>
      <w:r>
        <w:rPr>
          <w:lang w:val="en-NZ"/>
        </w:rPr>
        <w:t>)</w:t>
      </w:r>
    </w:p>
    <w:p w:rsidR="00DA6473" w:rsidRPr="00DB4CC5" w:rsidRDefault="00DA6473" w:rsidP="00DA6473">
      <w:pPr>
        <w:tabs>
          <w:tab w:val="left" w:pos="5295"/>
        </w:tabs>
        <w:rPr>
          <w:lang w:val="en-NZ"/>
        </w:rPr>
      </w:pPr>
    </w:p>
    <w:p w:rsidR="00DA6473" w:rsidRPr="00DB4CC5" w:rsidRDefault="0084177D" w:rsidP="00DA6473">
      <w:pPr>
        <w:rPr>
          <w:lang w:val="en-NZ"/>
        </w:rPr>
      </w:pPr>
      <w:r>
        <w:rPr>
          <w:lang w:val="en-NZ"/>
        </w:rPr>
        <w:t xml:space="preserve">The proposed section contains references to </w:t>
      </w:r>
      <w:r w:rsidR="00C11A8D">
        <w:rPr>
          <w:lang w:val="en-NZ"/>
        </w:rPr>
        <w:t>“</w:t>
      </w:r>
      <w:r>
        <w:rPr>
          <w:lang w:val="en-NZ"/>
        </w:rPr>
        <w:t>amalgamating company</w:t>
      </w:r>
      <w:r w:rsidR="00C11A8D">
        <w:rPr>
          <w:lang w:val="en-NZ"/>
        </w:rPr>
        <w:t>”</w:t>
      </w:r>
      <w:r>
        <w:rPr>
          <w:lang w:val="en-NZ"/>
        </w:rPr>
        <w:t xml:space="preserve"> which should be “amalgamated company”</w:t>
      </w:r>
      <w:r w:rsidR="00C11A8D">
        <w:rPr>
          <w:lang w:val="en-NZ"/>
        </w:rPr>
        <w:t>.</w:t>
      </w:r>
    </w:p>
    <w:p w:rsidR="00DA6473" w:rsidRDefault="00DA6473" w:rsidP="00DA6473">
      <w:pPr>
        <w:rPr>
          <w:lang w:val="en-NZ"/>
        </w:rPr>
      </w:pPr>
    </w:p>
    <w:p w:rsidR="00294D2C" w:rsidRDefault="00294D2C" w:rsidP="00294D2C">
      <w:pPr>
        <w:rPr>
          <w:b/>
          <w:lang w:val="en-NZ"/>
        </w:rPr>
      </w:pPr>
      <w:r>
        <w:rPr>
          <w:b/>
          <w:lang w:val="en-NZ"/>
        </w:rPr>
        <w:t>Comment</w:t>
      </w:r>
    </w:p>
    <w:p w:rsidR="00294D2C" w:rsidRDefault="00294D2C" w:rsidP="00294D2C">
      <w:pPr>
        <w:rPr>
          <w:b/>
          <w:lang w:val="en-NZ"/>
        </w:rPr>
      </w:pPr>
    </w:p>
    <w:p w:rsidR="00294D2C" w:rsidRDefault="00294D2C" w:rsidP="00DA6473">
      <w:pPr>
        <w:rPr>
          <w:lang w:val="en-NZ"/>
        </w:rPr>
      </w:pPr>
      <w:r>
        <w:rPr>
          <w:lang w:val="en-NZ"/>
        </w:rPr>
        <w:t>Officials agree with the submission.</w:t>
      </w:r>
    </w:p>
    <w:p w:rsidR="00294D2C" w:rsidRPr="00DB4CC5" w:rsidRDefault="00294D2C" w:rsidP="00DA6473">
      <w:pPr>
        <w:rPr>
          <w:lang w:val="en-NZ"/>
        </w:rPr>
      </w:pPr>
    </w:p>
    <w:p w:rsidR="00DA6473" w:rsidRPr="00DB4CC5" w:rsidRDefault="00DA6473" w:rsidP="00DA6473">
      <w:pPr>
        <w:pStyle w:val="Heading2"/>
        <w:rPr>
          <w:lang w:val="en-NZ"/>
        </w:rPr>
      </w:pPr>
      <w:r w:rsidRPr="00DB4CC5">
        <w:rPr>
          <w:lang w:val="en-NZ"/>
        </w:rPr>
        <w:t>Recommendation</w:t>
      </w:r>
    </w:p>
    <w:p w:rsidR="00DA6473" w:rsidRPr="00DB4CC5" w:rsidRDefault="00DA6473" w:rsidP="00DA6473">
      <w:pPr>
        <w:rPr>
          <w:lang w:val="en-NZ"/>
        </w:rPr>
      </w:pPr>
    </w:p>
    <w:p w:rsidR="00DA6473" w:rsidRPr="00DB4CC5" w:rsidRDefault="00DA6473" w:rsidP="00DA6473">
      <w:pPr>
        <w:rPr>
          <w:lang w:val="en-NZ"/>
        </w:rPr>
      </w:pPr>
      <w:r w:rsidRPr="00DB4CC5">
        <w:rPr>
          <w:lang w:val="en-NZ"/>
        </w:rPr>
        <w:t xml:space="preserve">That the submission be </w:t>
      </w:r>
      <w:r w:rsidR="00BA061B">
        <w:rPr>
          <w:lang w:val="en-NZ"/>
        </w:rPr>
        <w:t>accepted.</w:t>
      </w:r>
    </w:p>
    <w:p w:rsidR="00DA6473" w:rsidRPr="00DB4CC5" w:rsidRDefault="00DA6473" w:rsidP="00DA6473">
      <w:pPr>
        <w:pBdr>
          <w:bottom w:val="single" w:sz="4" w:space="1" w:color="auto"/>
        </w:pBdr>
        <w:rPr>
          <w:lang w:val="en-NZ"/>
        </w:rPr>
      </w:pPr>
    </w:p>
    <w:p w:rsidR="00DA6473" w:rsidRPr="00DB4CC5" w:rsidRDefault="00DA6473" w:rsidP="00DA6473">
      <w:pPr>
        <w:rPr>
          <w:lang w:val="en-NZ"/>
        </w:rPr>
      </w:pPr>
    </w:p>
    <w:p w:rsidR="00210DE8" w:rsidRPr="00DB4CC5" w:rsidRDefault="00210DE8" w:rsidP="00536A68">
      <w:pPr>
        <w:rPr>
          <w:lang w:val="en-NZ"/>
        </w:rPr>
      </w:pPr>
    </w:p>
    <w:p w:rsidR="0051706A" w:rsidRDefault="0051706A">
      <w:pPr>
        <w:jc w:val="left"/>
        <w:rPr>
          <w:lang w:val="en-NZ"/>
        </w:rPr>
      </w:pPr>
      <w:r>
        <w:rPr>
          <w:lang w:val="en-NZ"/>
        </w:rPr>
        <w:br w:type="page"/>
      </w:r>
    </w:p>
    <w:p w:rsidR="00DA6473" w:rsidRPr="00DB4CC5" w:rsidRDefault="00DA6473" w:rsidP="00536A68">
      <w:pPr>
        <w:rPr>
          <w:lang w:val="en-NZ"/>
        </w:rPr>
      </w:pPr>
    </w:p>
    <w:p w:rsidR="00DA6473" w:rsidRPr="00DB4CC5" w:rsidRDefault="00DA6473" w:rsidP="00536A68">
      <w:pPr>
        <w:rPr>
          <w:lang w:val="en-NZ"/>
        </w:rPr>
      </w:pPr>
    </w:p>
    <w:p w:rsidR="00210DE8" w:rsidRPr="00DB4CC5" w:rsidRDefault="00210DE8" w:rsidP="00536A68">
      <w:pPr>
        <w:rPr>
          <w:lang w:val="en-NZ"/>
        </w:rPr>
        <w:sectPr w:rsidR="00210DE8" w:rsidRPr="00DB4CC5" w:rsidSect="00AD47EB">
          <w:footerReference w:type="even" r:id="rId26"/>
          <w:footerReference w:type="default" r:id="rId27"/>
          <w:footerReference w:type="first" r:id="rId28"/>
          <w:type w:val="oddPage"/>
          <w:pgSz w:w="11906" w:h="16838" w:code="9"/>
          <w:pgMar w:top="1304" w:right="1797" w:bottom="1134" w:left="1797" w:header="720" w:footer="567" w:gutter="0"/>
          <w:cols w:space="720"/>
          <w:titlePg/>
        </w:sectPr>
      </w:pPr>
    </w:p>
    <w:p w:rsidR="00CD6CCB" w:rsidRDefault="00CD6CCB" w:rsidP="00CD6CCB">
      <w:pPr>
        <w:jc w:val="center"/>
        <w:rPr>
          <w:sz w:val="52"/>
          <w:lang w:val="en-NZ"/>
        </w:rPr>
      </w:pPr>
    </w:p>
    <w:p w:rsidR="00CD6CCB" w:rsidRDefault="00CD6CCB" w:rsidP="00CD6CCB">
      <w:pPr>
        <w:jc w:val="center"/>
        <w:rPr>
          <w:sz w:val="52"/>
          <w:lang w:val="en-NZ"/>
        </w:rPr>
      </w:pPr>
    </w:p>
    <w:p w:rsidR="00CD6CCB" w:rsidRDefault="00CD6CCB" w:rsidP="00CD6CCB">
      <w:pPr>
        <w:jc w:val="center"/>
        <w:rPr>
          <w:sz w:val="52"/>
          <w:lang w:val="en-NZ"/>
        </w:rPr>
      </w:pPr>
    </w:p>
    <w:p w:rsidR="00CD6CCB" w:rsidRDefault="00CD6CCB" w:rsidP="00CD6CCB">
      <w:pPr>
        <w:jc w:val="center"/>
        <w:rPr>
          <w:sz w:val="52"/>
          <w:lang w:val="en-NZ"/>
        </w:rPr>
      </w:pPr>
    </w:p>
    <w:p w:rsidR="00CD6CCB" w:rsidRDefault="00CD6CCB" w:rsidP="00CD6CCB">
      <w:pPr>
        <w:jc w:val="center"/>
        <w:rPr>
          <w:sz w:val="52"/>
          <w:lang w:val="en-NZ"/>
        </w:rPr>
      </w:pPr>
    </w:p>
    <w:p w:rsidR="00CD6CCB" w:rsidRPr="00DB4CC5" w:rsidRDefault="00CD6CCB" w:rsidP="00CD6CCB">
      <w:pPr>
        <w:jc w:val="center"/>
        <w:rPr>
          <w:sz w:val="52"/>
          <w:lang w:val="en-NZ"/>
        </w:rPr>
      </w:pPr>
    </w:p>
    <w:p w:rsidR="00CD6CCB" w:rsidRPr="00DB4CC5" w:rsidRDefault="00CD6CCB" w:rsidP="00CD6CCB">
      <w:pPr>
        <w:pStyle w:val="PartHeading"/>
        <w:pBdr>
          <w:top w:val="single" w:sz="4" w:space="10" w:color="auto"/>
          <w:bottom w:val="single" w:sz="4" w:space="10" w:color="auto"/>
        </w:pBdr>
        <w:spacing w:after="200"/>
      </w:pPr>
      <w:bookmarkStart w:id="111" w:name="_Toc432411999"/>
      <w:r>
        <w:rPr>
          <w:caps w:val="0"/>
        </w:rPr>
        <w:t xml:space="preserve">Matters raised by </w:t>
      </w:r>
      <w:r w:rsidR="00C11A8D">
        <w:rPr>
          <w:caps w:val="0"/>
        </w:rPr>
        <w:t>the Committee</w:t>
      </w:r>
      <w:bookmarkEnd w:id="111"/>
    </w:p>
    <w:p w:rsidR="00CD6CCB" w:rsidRPr="00DB4CC5" w:rsidRDefault="00CD6CCB" w:rsidP="00CD6CCB">
      <w:pPr>
        <w:pStyle w:val="PartHeading"/>
        <w:pBdr>
          <w:top w:val="none" w:sz="0" w:space="0" w:color="auto"/>
          <w:bottom w:val="none" w:sz="0" w:space="0" w:color="auto"/>
        </w:pBdr>
      </w:pPr>
    </w:p>
    <w:p w:rsidR="00CD6CCB" w:rsidRDefault="00CD6CCB">
      <w:pPr>
        <w:jc w:val="left"/>
        <w:rPr>
          <w:lang w:val="en-NZ"/>
        </w:rPr>
      </w:pPr>
      <w:r>
        <w:rPr>
          <w:lang w:val="en-NZ"/>
        </w:rPr>
        <w:br w:type="page"/>
      </w:r>
    </w:p>
    <w:p w:rsidR="0051706A" w:rsidRDefault="0051706A">
      <w:pPr>
        <w:jc w:val="left"/>
        <w:rPr>
          <w:b/>
          <w:caps/>
          <w:sz w:val="26"/>
          <w:lang w:val="en-NZ"/>
        </w:rPr>
      </w:pPr>
      <w:r>
        <w:br w:type="page"/>
      </w:r>
    </w:p>
    <w:p w:rsidR="00CD6CCB" w:rsidRPr="00DB4CC5" w:rsidRDefault="00CD6CCB" w:rsidP="00CD6CCB">
      <w:pPr>
        <w:pStyle w:val="Heading1"/>
      </w:pPr>
      <w:bookmarkStart w:id="112" w:name="_Toc432412000"/>
      <w:r>
        <w:t>Example scenarios</w:t>
      </w:r>
      <w:bookmarkEnd w:id="112"/>
    </w:p>
    <w:p w:rsidR="00CD6CCB" w:rsidRPr="00DB4CC5" w:rsidRDefault="00CD6CCB" w:rsidP="00CD6CCB">
      <w:pPr>
        <w:rPr>
          <w:lang w:val="en-NZ"/>
        </w:rPr>
      </w:pPr>
    </w:p>
    <w:p w:rsidR="00CD6CCB" w:rsidRPr="00DB4CC5" w:rsidRDefault="00CD6CCB" w:rsidP="00CD6CCB">
      <w:pPr>
        <w:tabs>
          <w:tab w:val="left" w:pos="5295"/>
        </w:tabs>
        <w:rPr>
          <w:lang w:val="en-NZ"/>
        </w:rPr>
      </w:pPr>
    </w:p>
    <w:p w:rsidR="00CD6CCB" w:rsidRDefault="00CD6CCB" w:rsidP="00CD6CCB">
      <w:r w:rsidRPr="005E2810">
        <w:t>The Committee has asked for example scenarios to demonstrate how the bright-line test would work in practice.</w:t>
      </w:r>
    </w:p>
    <w:p w:rsidR="00697D0E" w:rsidRDefault="00697D0E" w:rsidP="00CD6CCB"/>
    <w:p w:rsidR="00697D0E" w:rsidRDefault="00D155EC" w:rsidP="00CD6CCB">
      <w:r>
        <w:t xml:space="preserve">Several of these example scenarios may change if recommended amendments to </w:t>
      </w:r>
      <w:r w:rsidR="009062CE">
        <w:t>the bill contained in this Officials’ Report are accepted</w:t>
      </w:r>
      <w:r w:rsidR="00F16E3E">
        <w:t>.  W</w:t>
      </w:r>
      <w:r w:rsidR="009062CE">
        <w:t xml:space="preserve">here these amendments would affect the outcome in the example scenario the impact of the change is outlined </w:t>
      </w:r>
      <w:r w:rsidR="00136F84">
        <w:t>underneath</w:t>
      </w:r>
      <w:r w:rsidR="009062CE">
        <w:t xml:space="preserve"> the example.</w:t>
      </w:r>
    </w:p>
    <w:p w:rsidR="00CD6CCB" w:rsidRPr="00DB4CC5" w:rsidRDefault="00CD6CCB" w:rsidP="00CD6CCB">
      <w:pPr>
        <w:rPr>
          <w:lang w:val="en-NZ"/>
        </w:rPr>
      </w:pPr>
    </w:p>
    <w:p w:rsidR="00CD6CCB" w:rsidRPr="00DB4CC5" w:rsidRDefault="00C11A8D" w:rsidP="00CD6CCB">
      <w:pPr>
        <w:pStyle w:val="Heading2"/>
        <w:rPr>
          <w:lang w:val="en-NZ"/>
        </w:rPr>
      </w:pPr>
      <w:r>
        <w:rPr>
          <w:lang w:val="en-NZ"/>
        </w:rPr>
        <w:t>Examples</w:t>
      </w:r>
    </w:p>
    <w:p w:rsidR="00CD6CCB" w:rsidRPr="00DB4CC5" w:rsidRDefault="00CD6CCB" w:rsidP="00CD6CCB">
      <w:pPr>
        <w:rPr>
          <w:lang w:val="en-NZ"/>
        </w:rPr>
      </w:pPr>
    </w:p>
    <w:p w:rsidR="00CD6CCB" w:rsidRDefault="00C11A8D" w:rsidP="00CD6CCB">
      <w:pPr>
        <w:rPr>
          <w:b/>
        </w:rPr>
      </w:pPr>
      <w:r>
        <w:rPr>
          <w:b/>
        </w:rPr>
        <w:t>Two-</w:t>
      </w:r>
      <w:r w:rsidR="00CD6CCB" w:rsidRPr="00611D52">
        <w:rPr>
          <w:b/>
        </w:rPr>
        <w:t>year time period</w:t>
      </w:r>
    </w:p>
    <w:p w:rsidR="00CD6CCB" w:rsidRPr="00E5747E" w:rsidRDefault="00CD6CCB" w:rsidP="00CD6CCB"/>
    <w:p w:rsidR="00CD6CCB" w:rsidRPr="00CD6CCB" w:rsidRDefault="00CD6CCB" w:rsidP="00CD6CCB">
      <w:pPr>
        <w:rPr>
          <w:b/>
          <w:i/>
        </w:rPr>
      </w:pPr>
      <w:r w:rsidRPr="00CD6CCB">
        <w:rPr>
          <w:b/>
          <w:i/>
        </w:rPr>
        <w:t>Standard scenario</w:t>
      </w:r>
    </w:p>
    <w:p w:rsidR="00CD6CCB" w:rsidRPr="00E5747E" w:rsidRDefault="00CD6CCB" w:rsidP="00CD6CCB"/>
    <w:p w:rsidR="00CD6CCB" w:rsidRDefault="00CD6CCB" w:rsidP="00CD6CCB">
      <w:r>
        <w:t>For standard sales of land the two</w:t>
      </w:r>
      <w:r w:rsidR="00C11A8D">
        <w:t>-</w:t>
      </w:r>
      <w:r>
        <w:t>year bright-line period starts at the time a person acquires registered title to land and ends when a person enters into an agreement to dispose</w:t>
      </w:r>
      <w:r w:rsidR="00AC3AC5">
        <w:t xml:space="preserve"> of</w:t>
      </w:r>
      <w:r>
        <w:t xml:space="preserve"> the land.</w:t>
      </w:r>
    </w:p>
    <w:p w:rsidR="00CD6CCB" w:rsidRPr="005E2810" w:rsidRDefault="00CD6CCB" w:rsidP="00CD6CCB"/>
    <w:p w:rsidR="00CD6CCB" w:rsidRPr="005E2810" w:rsidRDefault="00CD6CCB" w:rsidP="00CD6CCB">
      <w:r w:rsidRPr="005E2810">
        <w:rPr>
          <w:noProof/>
          <w:lang w:val="en-NZ" w:eastAsia="en-NZ"/>
        </w:rPr>
        <mc:AlternateContent>
          <mc:Choice Requires="wpc">
            <w:drawing>
              <wp:inline distT="0" distB="0" distL="0" distR="0" wp14:anchorId="40D7790D" wp14:editId="254BC1DD">
                <wp:extent cx="5273749" cy="2476929"/>
                <wp:effectExtent l="0" t="0" r="22225" b="19050"/>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37" name="Straight Connector 37"/>
                        <wps:cNvCnPr/>
                        <wps:spPr>
                          <a:xfrm>
                            <a:off x="875446" y="132585"/>
                            <a:ext cx="3553679" cy="58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875446" y="132585"/>
                            <a:ext cx="0" cy="15130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2601380" y="132420"/>
                            <a:ext cx="0" cy="1513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4429125" y="138412"/>
                            <a:ext cx="0" cy="1513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TextBox 36"/>
                        <wps:cNvSpPr txBox="1"/>
                        <wps:spPr>
                          <a:xfrm>
                            <a:off x="0" y="367872"/>
                            <a:ext cx="1795780" cy="529590"/>
                          </a:xfrm>
                          <a:prstGeom prst="rect">
                            <a:avLst/>
                          </a:prstGeom>
                          <a:noFill/>
                        </wps:spPr>
                        <wps:txbx>
                          <w:txbxContent>
                            <w:p w:rsidR="00F45904" w:rsidRPr="001769B4" w:rsidRDefault="00F45904" w:rsidP="00CD6CCB">
                              <w:pPr>
                                <w:pStyle w:val="NormalWeb"/>
                                <w:spacing w:before="0" w:after="0"/>
                                <w:jc w:val="center"/>
                                <w:rPr>
                                  <w:rFonts w:ascii="Times New Roman" w:hAnsi="Times New Roman"/>
                                  <w:b/>
                                  <w:sz w:val="20"/>
                                  <w:lang w:val="en-NZ"/>
                                </w:rPr>
                              </w:pPr>
                              <w:r w:rsidRPr="001769B4">
                                <w:rPr>
                                  <w:rFonts w:ascii="Times New Roman" w:hAnsi="Times New Roman"/>
                                  <w:b/>
                                  <w:sz w:val="20"/>
                                  <w:lang w:val="en-NZ"/>
                                </w:rPr>
                                <w:t>1 May 2016</w:t>
                              </w:r>
                            </w:p>
                            <w:p w:rsidR="00F45904" w:rsidRPr="001769B4" w:rsidRDefault="00F45904" w:rsidP="00CD6CCB">
                              <w:pPr>
                                <w:pStyle w:val="NormalWeb"/>
                                <w:spacing w:before="0" w:after="0"/>
                                <w:jc w:val="center"/>
                                <w:rPr>
                                  <w:sz w:val="20"/>
                                </w:rPr>
                              </w:pPr>
                              <w:r>
                                <w:rPr>
                                  <w:rFonts w:ascii="Times New Roman" w:hAnsi="Times New Roman"/>
                                  <w:sz w:val="20"/>
                                  <w:lang w:val="en-NZ"/>
                                </w:rPr>
                                <w:t>Amy</w:t>
                              </w:r>
                              <w:r w:rsidRPr="001769B4">
                                <w:rPr>
                                  <w:rFonts w:ascii="Times New Roman" w:hAnsi="Times New Roman"/>
                                  <w:sz w:val="20"/>
                                  <w:lang w:val="en-NZ"/>
                                </w:rPr>
                                <w:t xml:space="preserve"> </w:t>
                              </w:r>
                              <w:r>
                                <w:rPr>
                                  <w:rFonts w:ascii="Times New Roman" w:hAnsi="Times New Roman"/>
                                  <w:sz w:val="20"/>
                                  <w:lang w:val="en-NZ"/>
                                </w:rPr>
                                <w:t>acquires registered title to</w:t>
                              </w:r>
                              <w:r w:rsidRPr="001769B4">
                                <w:rPr>
                                  <w:rFonts w:ascii="Times New Roman" w:hAnsi="Times New Roman"/>
                                  <w:sz w:val="20"/>
                                  <w:lang w:val="en-NZ"/>
                                </w:rPr>
                                <w:t xml:space="preserve"> residential land</w:t>
                              </w:r>
                              <w:r>
                                <w:rPr>
                                  <w:rFonts w:ascii="Times New Roman" w:hAnsi="Times New Roman"/>
                                  <w:sz w:val="20"/>
                                  <w:lang w:val="en-NZ"/>
                                </w:rPr>
                                <w:t>.</w:t>
                              </w:r>
                            </w:p>
                          </w:txbxContent>
                        </wps:txbx>
                        <wps:bodyPr wrap="square" rtlCol="0">
                          <a:spAutoFit/>
                        </wps:bodyPr>
                      </wps:wsp>
                      <wps:wsp>
                        <wps:cNvPr id="47" name="TextBox 37"/>
                        <wps:cNvSpPr txBox="1"/>
                        <wps:spPr>
                          <a:xfrm>
                            <a:off x="1709611" y="344131"/>
                            <a:ext cx="1798955" cy="894120"/>
                          </a:xfrm>
                          <a:prstGeom prst="rect">
                            <a:avLst/>
                          </a:prstGeom>
                          <a:noFill/>
                        </wps:spPr>
                        <wps:txbx>
                          <w:txbxContent>
                            <w:p w:rsidR="00F45904" w:rsidRPr="001769B4" w:rsidRDefault="00F45904" w:rsidP="00CD6CCB">
                              <w:pPr>
                                <w:pStyle w:val="NormalWeb"/>
                                <w:spacing w:before="0" w:after="0"/>
                                <w:jc w:val="center"/>
                                <w:rPr>
                                  <w:rFonts w:ascii="Times New Roman" w:hAnsi="Times New Roman"/>
                                  <w:b/>
                                  <w:sz w:val="20"/>
                                  <w:lang w:val="en-NZ"/>
                                </w:rPr>
                              </w:pPr>
                              <w:r>
                                <w:rPr>
                                  <w:rFonts w:ascii="Times New Roman" w:hAnsi="Times New Roman"/>
                                  <w:b/>
                                  <w:sz w:val="20"/>
                                  <w:lang w:val="en-NZ"/>
                                </w:rPr>
                                <w:t>1 December 2017</w:t>
                              </w:r>
                            </w:p>
                            <w:p w:rsidR="00F45904" w:rsidRPr="001769B4" w:rsidRDefault="00F45904" w:rsidP="00CD6CCB">
                              <w:pPr>
                                <w:pStyle w:val="NormalWeb"/>
                                <w:spacing w:before="0" w:after="0"/>
                                <w:jc w:val="center"/>
                                <w:rPr>
                                  <w:rFonts w:ascii="Times New Roman" w:hAnsi="Times New Roman"/>
                                  <w:sz w:val="20"/>
                                  <w:lang w:val="en-NZ"/>
                                </w:rPr>
                              </w:pPr>
                              <w:r>
                                <w:rPr>
                                  <w:rFonts w:ascii="Times New Roman" w:hAnsi="Times New Roman"/>
                                  <w:sz w:val="20"/>
                                  <w:lang w:val="en-NZ"/>
                                </w:rPr>
                                <w:t>Amy enters into an agreement to sell the land to Bob with final payment and settlement to follow.</w:t>
                              </w:r>
                            </w:p>
                          </w:txbxContent>
                        </wps:txbx>
                        <wps:bodyPr wrap="square" rtlCol="0">
                          <a:noAutofit/>
                        </wps:bodyPr>
                      </wps:wsp>
                      <wps:wsp>
                        <wps:cNvPr id="48" name="TextBox 46"/>
                        <wps:cNvSpPr txBox="1"/>
                        <wps:spPr>
                          <a:xfrm>
                            <a:off x="3476634" y="388512"/>
                            <a:ext cx="1800225" cy="821690"/>
                          </a:xfrm>
                          <a:prstGeom prst="rect">
                            <a:avLst/>
                          </a:prstGeom>
                          <a:noFill/>
                        </wps:spPr>
                        <wps:txbx>
                          <w:txbxContent>
                            <w:p w:rsidR="00F45904" w:rsidRPr="001769B4" w:rsidRDefault="00F45904" w:rsidP="00CD6CCB">
                              <w:pPr>
                                <w:pStyle w:val="NormalWeb"/>
                                <w:spacing w:before="0" w:after="0"/>
                                <w:jc w:val="center"/>
                                <w:rPr>
                                  <w:rFonts w:ascii="Times New Roman" w:hAnsi="Times New Roman"/>
                                  <w:b/>
                                  <w:sz w:val="20"/>
                                  <w:lang w:val="en-NZ"/>
                                </w:rPr>
                              </w:pPr>
                              <w:r>
                                <w:rPr>
                                  <w:rFonts w:ascii="Times New Roman" w:hAnsi="Times New Roman"/>
                                  <w:b/>
                                  <w:sz w:val="20"/>
                                  <w:lang w:val="en-NZ"/>
                                </w:rPr>
                                <w:t>1 July 2018</w:t>
                              </w:r>
                            </w:p>
                            <w:p w:rsidR="00F45904" w:rsidRPr="001769B4" w:rsidRDefault="00F45904" w:rsidP="00CD6CCB">
                              <w:pPr>
                                <w:pStyle w:val="NormalWeb"/>
                                <w:spacing w:before="0" w:after="0"/>
                                <w:jc w:val="center"/>
                                <w:rPr>
                                  <w:rFonts w:ascii="Times New Roman" w:hAnsi="Times New Roman"/>
                                  <w:sz w:val="20"/>
                                  <w:lang w:val="en-NZ"/>
                                </w:rPr>
                              </w:pPr>
                              <w:r>
                                <w:rPr>
                                  <w:rFonts w:ascii="Times New Roman" w:hAnsi="Times New Roman"/>
                                  <w:sz w:val="20"/>
                                  <w:lang w:val="en-NZ"/>
                                </w:rPr>
                                <w:t>Bob makes final payment for the property and registered title to the land is transferred to him.</w:t>
                              </w:r>
                            </w:p>
                          </w:txbxContent>
                        </wps:txbx>
                        <wps:bodyPr wrap="square" rtlCol="0">
                          <a:spAutoFit/>
                        </wps:bodyPr>
                      </wps:wsp>
                      <wps:wsp>
                        <wps:cNvPr id="6" name="Text Box 6"/>
                        <wps:cNvSpPr txBox="1"/>
                        <wps:spPr>
                          <a:xfrm>
                            <a:off x="54580" y="1237307"/>
                            <a:ext cx="5136539" cy="11762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5904" w:rsidRDefault="00F45904" w:rsidP="00CD6CCB">
                              <w:r>
                                <w:t>The bright-line period starts on 1 May 2016 (date registered title acquired) and ends on 1 December 2017 (date of entry into agreement to sell land).</w:t>
                              </w:r>
                            </w:p>
                            <w:p w:rsidR="00F45904" w:rsidRPr="005E2810" w:rsidRDefault="00F45904" w:rsidP="00CD6CCB"/>
                            <w:p w:rsidR="00F45904" w:rsidRDefault="00F45904" w:rsidP="00CD6CCB">
                              <w:r w:rsidRPr="005E2810">
                                <w:t>Amy receives payment for the property in the 2018</w:t>
                              </w:r>
                              <w:r>
                                <w:t>–</w:t>
                              </w:r>
                              <w:r w:rsidRPr="005E2810">
                                <w:t xml:space="preserve">19 income </w:t>
                              </w:r>
                              <w:proofErr w:type="gramStart"/>
                              <w:r w:rsidRPr="005E2810">
                                <w:t>year</w:t>
                              </w:r>
                              <w:proofErr w:type="gramEnd"/>
                              <w:r>
                                <w:t>.  T</w:t>
                              </w:r>
                              <w:r w:rsidRPr="005E2810">
                                <w:t>his means that Amy is required to return the income in her annual income tax return for the year.</w:t>
                              </w:r>
                            </w:p>
                            <w:p w:rsidR="00F45904" w:rsidRPr="005E2810" w:rsidRDefault="00F45904" w:rsidP="00CD6C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18" o:spid="_x0000_s1026" editas="canvas" style="width:415.25pt;height:195.05pt;mso-position-horizontal-relative:char;mso-position-vertical-relative:line" coordsize="52736,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36;height:24765;visibility:visible;mso-wrap-style:square" stroked="t" strokecolor="black [3213]">
                  <v:fill o:detectmouseclick="t"/>
                  <v:path o:connecttype="none"/>
                </v:shape>
                <v:line id="Straight Connector 37" o:spid="_x0000_s1028" style="position:absolute;visibility:visible;mso-wrap-style:square" from="8754,1325" to="44291,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dBLMQAAADbAAAADwAAAGRycy9kb3ducmV2LnhtbESPQWvCQBSE74L/YXmF3nSjpU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0EsxAAAANsAAAAPAAAAAAAAAAAA&#10;AAAAAKECAABkcnMvZG93bnJldi54bWxQSwUGAAAAAAQABAD5AAAAkgMAAAAA&#10;" strokecolor="black [3213]"/>
                <v:line id="Straight Connector 41" o:spid="_x0000_s1029" style="position:absolute;visibility:visible;mso-wrap-style:square" from="8754,1325" to="8754,2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QPvsUAAADbAAAADwAAAGRycy9kb3ducmV2LnhtbESPQWvCQBSE7wX/w/KE3uom0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QPvsUAAADbAAAADwAAAAAAAAAA&#10;AAAAAAChAgAAZHJzL2Rvd25yZXYueG1sUEsFBgAAAAAEAAQA+QAAAJMDAAAAAA==&#10;" strokecolor="black [3213]"/>
                <v:line id="Straight Connector 42" o:spid="_x0000_s1030" style="position:absolute;visibility:visible;mso-wrap-style:square" from="26013,1324" to="26013,2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QQjcYAAADbAAAADwAAAGRycy9kb3ducmV2LnhtbESPQWvCQBSE70L/w/IKvUizMVptUlcp&#10;LYIXkaYe7O2RfU1Cs29Ddmviv3cFweMwM98wy/VgGnGiztWWFUyiGARxYXXNpYLD9+b5FYTzyBob&#10;y6TgTA7Wq4fREjNte/6iU+5LESDsMlRQed9mUrqiIoMusi1x8H5tZ9AH2ZVSd9gHuGlkEsdzabDm&#10;sFBhSx8VFX/5v1HweZj3eVq+LMaT6W5IeZ8cf3ZGqafH4f0NhKfB38O39lYrmCVw/RJ+gF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0EI3GAAAA2wAAAA8AAAAAAAAA&#10;AAAAAAAAoQIAAGRycy9kb3ducmV2LnhtbFBLBQYAAAAABAAEAPkAAACUAwAAAAA=&#10;" strokecolor="black [3213]" strokeweight="1pt"/>
                <v:line id="Straight Connector 43" o:spid="_x0000_s1031" style="position:absolute;visibility:visible;mso-wrap-style:square" from="44291,1384" to="44291,2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i1FsYAAADbAAAADwAAAGRycy9kb3ducmV2LnhtbESPT2vCQBTE7wW/w/KEXqRu/Bc1ukpR&#10;Cr2INHpob4/sMwlm34bsauK37xaEHoeZ+Q2z3namEndqXGlZwWgYgSDOrC45V3A+fbwtQDiPrLGy&#10;TAoe5GC76b2sMdG25S+6pz4XAcIuQQWF93UipcsKMuiGtiYO3sU2Bn2QTS51g22Am0qOoyiWBksO&#10;CwXWtCsou6Y3o2B/jtt0mc/mg9Hk0C35OP7+ORilXvvd+wqEp87/h5/tT61gOoG/L+EH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4tRbGAAAA2wAAAA8AAAAAAAAA&#10;AAAAAAAAoQIAAGRycy9kb3ducmV2LnhtbFBLBQYAAAAABAAEAPkAAACUAwAAAAA=&#10;" strokecolor="black [3213]" strokeweight="1pt"/>
                <v:shapetype id="_x0000_t202" coordsize="21600,21600" o:spt="202" path="m,l,21600r21600,l21600,xe">
                  <v:stroke joinstyle="miter"/>
                  <v:path gradientshapeok="t" o:connecttype="rect"/>
                </v:shapetype>
                <v:shape id="TextBox 36" o:spid="_x0000_s1032" type="#_x0000_t202" style="position:absolute;top:3678;width:17957;height:5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1ysIA&#10;AADbAAAADwAAAGRycy9kb3ducmV2LnhtbESPzWrDMBCE74W+g9hAbo2c0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XXKwgAAANsAAAAPAAAAAAAAAAAAAAAAAJgCAABkcnMvZG93&#10;bnJldi54bWxQSwUGAAAAAAQABAD1AAAAhwMAAAAA&#10;" filled="f" stroked="f">
                  <v:textbox style="mso-fit-shape-to-text:t">
                    <w:txbxContent>
                      <w:p w:rsidR="002B016D" w:rsidRPr="001769B4" w:rsidRDefault="002B016D" w:rsidP="00CD6CCB">
                        <w:pPr>
                          <w:pStyle w:val="NormalWeb"/>
                          <w:spacing w:before="0" w:after="0"/>
                          <w:jc w:val="center"/>
                          <w:rPr>
                            <w:rFonts w:ascii="Times New Roman" w:hAnsi="Times New Roman"/>
                            <w:b/>
                            <w:sz w:val="20"/>
                            <w:lang w:val="en-NZ"/>
                          </w:rPr>
                        </w:pPr>
                        <w:r w:rsidRPr="001769B4">
                          <w:rPr>
                            <w:rFonts w:ascii="Times New Roman" w:hAnsi="Times New Roman"/>
                            <w:b/>
                            <w:sz w:val="20"/>
                            <w:lang w:val="en-NZ"/>
                          </w:rPr>
                          <w:t>1 May 2016</w:t>
                        </w:r>
                      </w:p>
                      <w:p w:rsidR="002B016D" w:rsidRPr="001769B4" w:rsidRDefault="002B016D" w:rsidP="00CD6CCB">
                        <w:pPr>
                          <w:pStyle w:val="NormalWeb"/>
                          <w:spacing w:before="0" w:after="0"/>
                          <w:jc w:val="center"/>
                          <w:rPr>
                            <w:sz w:val="20"/>
                          </w:rPr>
                        </w:pPr>
                        <w:r>
                          <w:rPr>
                            <w:rFonts w:ascii="Times New Roman" w:hAnsi="Times New Roman"/>
                            <w:sz w:val="20"/>
                            <w:lang w:val="en-NZ"/>
                          </w:rPr>
                          <w:t>Amy</w:t>
                        </w:r>
                        <w:r w:rsidRPr="001769B4">
                          <w:rPr>
                            <w:rFonts w:ascii="Times New Roman" w:hAnsi="Times New Roman"/>
                            <w:sz w:val="20"/>
                            <w:lang w:val="en-NZ"/>
                          </w:rPr>
                          <w:t xml:space="preserve"> </w:t>
                        </w:r>
                        <w:r>
                          <w:rPr>
                            <w:rFonts w:ascii="Times New Roman" w:hAnsi="Times New Roman"/>
                            <w:sz w:val="20"/>
                            <w:lang w:val="en-NZ"/>
                          </w:rPr>
                          <w:t>acquires registered title to</w:t>
                        </w:r>
                        <w:r w:rsidRPr="001769B4">
                          <w:rPr>
                            <w:rFonts w:ascii="Times New Roman" w:hAnsi="Times New Roman"/>
                            <w:sz w:val="20"/>
                            <w:lang w:val="en-NZ"/>
                          </w:rPr>
                          <w:t xml:space="preserve"> residential land</w:t>
                        </w:r>
                        <w:r>
                          <w:rPr>
                            <w:rFonts w:ascii="Times New Roman" w:hAnsi="Times New Roman"/>
                            <w:sz w:val="20"/>
                            <w:lang w:val="en-NZ"/>
                          </w:rPr>
                          <w:t>.</w:t>
                        </w:r>
                      </w:p>
                    </w:txbxContent>
                  </v:textbox>
                </v:shape>
                <v:shape id="TextBox 37" o:spid="_x0000_s1033" type="#_x0000_t202" style="position:absolute;left:17096;top:3441;width:17989;height:8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2B016D" w:rsidRPr="001769B4" w:rsidRDefault="002B016D" w:rsidP="00CD6CCB">
                        <w:pPr>
                          <w:pStyle w:val="NormalWeb"/>
                          <w:spacing w:before="0" w:after="0"/>
                          <w:jc w:val="center"/>
                          <w:rPr>
                            <w:rFonts w:ascii="Times New Roman" w:hAnsi="Times New Roman"/>
                            <w:b/>
                            <w:sz w:val="20"/>
                            <w:lang w:val="en-NZ"/>
                          </w:rPr>
                        </w:pPr>
                        <w:r>
                          <w:rPr>
                            <w:rFonts w:ascii="Times New Roman" w:hAnsi="Times New Roman"/>
                            <w:b/>
                            <w:sz w:val="20"/>
                            <w:lang w:val="en-NZ"/>
                          </w:rPr>
                          <w:t>1 December 2017</w:t>
                        </w:r>
                      </w:p>
                      <w:p w:rsidR="002B016D" w:rsidRPr="001769B4" w:rsidRDefault="002B016D" w:rsidP="00CD6CCB">
                        <w:pPr>
                          <w:pStyle w:val="NormalWeb"/>
                          <w:spacing w:before="0" w:after="0"/>
                          <w:jc w:val="center"/>
                          <w:rPr>
                            <w:rFonts w:ascii="Times New Roman" w:hAnsi="Times New Roman"/>
                            <w:sz w:val="20"/>
                            <w:lang w:val="en-NZ"/>
                          </w:rPr>
                        </w:pPr>
                        <w:r>
                          <w:rPr>
                            <w:rFonts w:ascii="Times New Roman" w:hAnsi="Times New Roman"/>
                            <w:sz w:val="20"/>
                            <w:lang w:val="en-NZ"/>
                          </w:rPr>
                          <w:t>Amy enters into an agreement to sell the land to Bob with final payment and settlement to follow.</w:t>
                        </w:r>
                      </w:p>
                    </w:txbxContent>
                  </v:textbox>
                </v:shape>
                <v:shape id="TextBox 46" o:spid="_x0000_s1034" type="#_x0000_t202" style="position:absolute;left:34766;top:3885;width:18002;height:8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rsidR="002B016D" w:rsidRPr="001769B4" w:rsidRDefault="002B016D" w:rsidP="00CD6CCB">
                        <w:pPr>
                          <w:pStyle w:val="NormalWeb"/>
                          <w:spacing w:before="0" w:after="0"/>
                          <w:jc w:val="center"/>
                          <w:rPr>
                            <w:rFonts w:ascii="Times New Roman" w:hAnsi="Times New Roman"/>
                            <w:b/>
                            <w:sz w:val="20"/>
                            <w:lang w:val="en-NZ"/>
                          </w:rPr>
                        </w:pPr>
                        <w:r>
                          <w:rPr>
                            <w:rFonts w:ascii="Times New Roman" w:hAnsi="Times New Roman"/>
                            <w:b/>
                            <w:sz w:val="20"/>
                            <w:lang w:val="en-NZ"/>
                          </w:rPr>
                          <w:t>1 July 2018</w:t>
                        </w:r>
                      </w:p>
                      <w:p w:rsidR="002B016D" w:rsidRPr="001769B4" w:rsidRDefault="002B016D" w:rsidP="00CD6CCB">
                        <w:pPr>
                          <w:pStyle w:val="NormalWeb"/>
                          <w:spacing w:before="0" w:after="0"/>
                          <w:jc w:val="center"/>
                          <w:rPr>
                            <w:rFonts w:ascii="Times New Roman" w:hAnsi="Times New Roman"/>
                            <w:sz w:val="20"/>
                            <w:lang w:val="en-NZ"/>
                          </w:rPr>
                        </w:pPr>
                        <w:r>
                          <w:rPr>
                            <w:rFonts w:ascii="Times New Roman" w:hAnsi="Times New Roman"/>
                            <w:sz w:val="20"/>
                            <w:lang w:val="en-NZ"/>
                          </w:rPr>
                          <w:t>Bob makes final payment for the property and registered title to the land is transferred to him.</w:t>
                        </w:r>
                      </w:p>
                    </w:txbxContent>
                  </v:textbox>
                </v:shape>
                <v:shape id="Text Box 6" o:spid="_x0000_s1035" type="#_x0000_t202" style="position:absolute;left:545;top:12373;width:51366;height:11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DcUA&#10;AADaAAAADwAAAGRycy9kb3ducmV2LnhtbESPQWvCQBSE7wX/w/IEL6VuqlRLdJUi2hZvJq3i7ZF9&#10;JsHs25Bdk/TfdwsFj8PMfMMs172pREuNKy0reB5HIIgzq0vOFXylu6dXEM4ja6wsk4IfcrBeDR6W&#10;GGvb8YHaxOciQNjFqKDwvo6ldFlBBt3Y1sTBu9jGoA+yyaVusAtwU8lJFM2kwZLDQoE1bQrKrsnN&#10;KDg/5qe969+/u+nLtN5+tOn8qFOlRsP+bQHCU+/v4f/2p1Ywg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zwNxQAAANoAAAAPAAAAAAAAAAAAAAAAAJgCAABkcnMv&#10;ZG93bnJldi54bWxQSwUGAAAAAAQABAD1AAAAigMAAAAA&#10;" fillcolor="white [3201]" stroked="f" strokeweight=".5pt">
                  <v:textbox>
                    <w:txbxContent>
                      <w:p w:rsidR="002B016D" w:rsidRDefault="002B016D" w:rsidP="00CD6CCB">
                        <w:r>
                          <w:t>The bright-line period starts on 1 May 2016 (date registered title acquired) and ends on 1 December 2017 (date of entry into agreement to sell land).</w:t>
                        </w:r>
                      </w:p>
                      <w:p w:rsidR="002B016D" w:rsidRPr="005E2810" w:rsidRDefault="002B016D" w:rsidP="00CD6CCB"/>
                      <w:p w:rsidR="002B016D" w:rsidRDefault="002B016D" w:rsidP="00CD6CCB">
                        <w:r w:rsidRPr="005E2810">
                          <w:t>Amy receives payment for the property in the 2018</w:t>
                        </w:r>
                        <w:r>
                          <w:t>–</w:t>
                        </w:r>
                        <w:r w:rsidRPr="005E2810">
                          <w:t xml:space="preserve">19 income </w:t>
                        </w:r>
                        <w:proofErr w:type="gramStart"/>
                        <w:r w:rsidRPr="005E2810">
                          <w:t>year</w:t>
                        </w:r>
                        <w:proofErr w:type="gramEnd"/>
                        <w:r>
                          <w:t>.  T</w:t>
                        </w:r>
                        <w:r w:rsidRPr="005E2810">
                          <w:t>his means that Amy is required to return the income in her annual income tax return for the year.</w:t>
                        </w:r>
                      </w:p>
                      <w:p w:rsidR="002B016D" w:rsidRPr="005E2810" w:rsidRDefault="002B016D" w:rsidP="00CD6CCB"/>
                    </w:txbxContent>
                  </v:textbox>
                </v:shape>
                <w10:anchorlock/>
              </v:group>
            </w:pict>
          </mc:Fallback>
        </mc:AlternateContent>
      </w:r>
    </w:p>
    <w:p w:rsidR="00CD6CCB" w:rsidRPr="00E5747E" w:rsidRDefault="00CD6CCB" w:rsidP="00CD6CCB"/>
    <w:p w:rsidR="00E5747E" w:rsidRPr="00E5747E" w:rsidRDefault="00E5747E">
      <w:pPr>
        <w:jc w:val="left"/>
      </w:pPr>
      <w:r>
        <w:rPr>
          <w:b/>
          <w:i/>
        </w:rPr>
        <w:br w:type="page"/>
      </w:r>
    </w:p>
    <w:p w:rsidR="00CD6CCB" w:rsidRPr="00CD6CCB" w:rsidRDefault="009062CE" w:rsidP="00CD6CCB">
      <w:pPr>
        <w:rPr>
          <w:b/>
          <w:i/>
        </w:rPr>
      </w:pPr>
      <w:r>
        <w:rPr>
          <w:b/>
          <w:i/>
        </w:rPr>
        <w:t>Sales where there is no registration of title</w:t>
      </w:r>
    </w:p>
    <w:p w:rsidR="00CD6CCB" w:rsidRPr="00E5747E" w:rsidRDefault="00CD6CCB" w:rsidP="00CD6CCB"/>
    <w:p w:rsidR="00CD6CCB" w:rsidRDefault="00CD6CCB" w:rsidP="00CD6CCB">
      <w:r>
        <w:t>For a sale “off the plan” (whe</w:t>
      </w:r>
      <w:r w:rsidR="00C11A8D">
        <w:t>n</w:t>
      </w:r>
      <w:r>
        <w:t xml:space="preserve"> the land is </w:t>
      </w:r>
      <w:r w:rsidR="00136F84">
        <w:t xml:space="preserve">bought and sold </w:t>
      </w:r>
      <w:r>
        <w:t>prior to</w:t>
      </w:r>
      <w:r w:rsidR="00136F84">
        <w:t xml:space="preserve"> obtaining</w:t>
      </w:r>
      <w:r>
        <w:t xml:space="preserve"> registration of title), the bright-line period starts at the time a person enters into an agreement to acquire the land and ends when a person enters into a contract to dispose of the land.</w:t>
      </w:r>
    </w:p>
    <w:p w:rsidR="00E5747E" w:rsidRPr="005E2810" w:rsidRDefault="00E5747E" w:rsidP="00CD6CCB"/>
    <w:p w:rsidR="00CD6CCB" w:rsidRPr="005E2810" w:rsidRDefault="00CD6CCB" w:rsidP="00CD6CCB">
      <w:r w:rsidRPr="005E2810">
        <w:rPr>
          <w:noProof/>
          <w:lang w:val="en-NZ" w:eastAsia="en-NZ"/>
        </w:rPr>
        <mc:AlternateContent>
          <mc:Choice Requires="wpc">
            <w:drawing>
              <wp:inline distT="0" distB="0" distL="0" distR="0" wp14:anchorId="66590277" wp14:editId="7FC07E7F">
                <wp:extent cx="5272644" cy="2719448"/>
                <wp:effectExtent l="0" t="0" r="23495" b="24130"/>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11" name="Straight Connector 11"/>
                        <wps:cNvCnPr/>
                        <wps:spPr>
                          <a:xfrm>
                            <a:off x="875420" y="729512"/>
                            <a:ext cx="3553679" cy="58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875420" y="729512"/>
                            <a:ext cx="0" cy="15130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2601354" y="729347"/>
                            <a:ext cx="0" cy="1513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4429099" y="735339"/>
                            <a:ext cx="0" cy="1513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TextBox 36"/>
                        <wps:cNvSpPr txBox="1"/>
                        <wps:spPr>
                          <a:xfrm>
                            <a:off x="0" y="964593"/>
                            <a:ext cx="1795780" cy="675640"/>
                          </a:xfrm>
                          <a:prstGeom prst="rect">
                            <a:avLst/>
                          </a:prstGeom>
                          <a:noFill/>
                        </wps:spPr>
                        <wps:txbx>
                          <w:txbxContent>
                            <w:p w:rsidR="00F45904" w:rsidRPr="001769B4" w:rsidRDefault="00F45904" w:rsidP="00CD6CCB">
                              <w:pPr>
                                <w:pStyle w:val="NormalWeb"/>
                                <w:spacing w:before="0" w:after="0"/>
                                <w:jc w:val="center"/>
                                <w:rPr>
                                  <w:rFonts w:ascii="Times New Roman" w:hAnsi="Times New Roman"/>
                                  <w:b/>
                                  <w:sz w:val="20"/>
                                  <w:lang w:val="en-NZ"/>
                                </w:rPr>
                              </w:pPr>
                              <w:r w:rsidRPr="001769B4">
                                <w:rPr>
                                  <w:rFonts w:ascii="Times New Roman" w:hAnsi="Times New Roman"/>
                                  <w:b/>
                                  <w:sz w:val="20"/>
                                  <w:lang w:val="en-NZ"/>
                                </w:rPr>
                                <w:t>1 May 2016</w:t>
                              </w:r>
                            </w:p>
                            <w:p w:rsidR="00F45904" w:rsidRPr="001769B4" w:rsidRDefault="00F45904" w:rsidP="00CD6CCB">
                              <w:pPr>
                                <w:pStyle w:val="NormalWeb"/>
                                <w:spacing w:before="0" w:after="0"/>
                                <w:jc w:val="center"/>
                                <w:rPr>
                                  <w:sz w:val="20"/>
                                </w:rPr>
                              </w:pPr>
                              <w:r>
                                <w:rPr>
                                  <w:rFonts w:ascii="Times New Roman" w:hAnsi="Times New Roman"/>
                                  <w:sz w:val="20"/>
                                  <w:lang w:val="en-NZ"/>
                                </w:rPr>
                                <w:t>Developer enters into a contract to sell apartment A to Cory.</w:t>
                              </w:r>
                            </w:p>
                          </w:txbxContent>
                        </wps:txbx>
                        <wps:bodyPr wrap="square" rtlCol="0">
                          <a:spAutoFit/>
                        </wps:bodyPr>
                      </wps:wsp>
                      <wps:wsp>
                        <wps:cNvPr id="16" name="TextBox 37"/>
                        <wps:cNvSpPr txBox="1"/>
                        <wps:spPr>
                          <a:xfrm>
                            <a:off x="1709585" y="941058"/>
                            <a:ext cx="1798955" cy="894120"/>
                          </a:xfrm>
                          <a:prstGeom prst="rect">
                            <a:avLst/>
                          </a:prstGeom>
                          <a:noFill/>
                        </wps:spPr>
                        <wps:txbx>
                          <w:txbxContent>
                            <w:p w:rsidR="00F45904" w:rsidRDefault="00F45904" w:rsidP="00CD6CCB">
                              <w:pPr>
                                <w:pStyle w:val="NormalWeb"/>
                                <w:spacing w:before="0" w:after="0"/>
                                <w:jc w:val="center"/>
                                <w:rPr>
                                  <w:rFonts w:ascii="Times New Roman" w:hAnsi="Times New Roman"/>
                                  <w:b/>
                                  <w:sz w:val="20"/>
                                  <w:lang w:val="en-NZ"/>
                                </w:rPr>
                              </w:pPr>
                              <w:r>
                                <w:rPr>
                                  <w:rFonts w:ascii="Times New Roman" w:hAnsi="Times New Roman"/>
                                  <w:b/>
                                  <w:sz w:val="20"/>
                                  <w:lang w:val="en-NZ"/>
                                </w:rPr>
                                <w:t>1 July 2016</w:t>
                              </w:r>
                            </w:p>
                            <w:p w:rsidR="00F45904" w:rsidRPr="00714F00" w:rsidRDefault="00F45904" w:rsidP="00CD6CCB">
                              <w:pPr>
                                <w:pStyle w:val="NormalWeb"/>
                                <w:spacing w:before="0" w:after="0"/>
                                <w:jc w:val="center"/>
                                <w:rPr>
                                  <w:rFonts w:ascii="Times New Roman" w:hAnsi="Times New Roman"/>
                                  <w:sz w:val="20"/>
                                  <w:lang w:val="en-NZ"/>
                                </w:rPr>
                              </w:pPr>
                              <w:r>
                                <w:rPr>
                                  <w:rFonts w:ascii="Times New Roman" w:hAnsi="Times New Roman"/>
                                  <w:sz w:val="20"/>
                                  <w:lang w:val="en-NZ"/>
                                </w:rPr>
                                <w:t>Cory enters into an agreement to sell apartment A to Denise.</w:t>
                              </w:r>
                            </w:p>
                          </w:txbxContent>
                        </wps:txbx>
                        <wps:bodyPr wrap="square" rtlCol="0">
                          <a:noAutofit/>
                        </wps:bodyPr>
                      </wps:wsp>
                      <wps:wsp>
                        <wps:cNvPr id="17" name="TextBox 46"/>
                        <wps:cNvSpPr txBox="1"/>
                        <wps:spPr>
                          <a:xfrm>
                            <a:off x="3476625" y="983951"/>
                            <a:ext cx="1800225" cy="821690"/>
                          </a:xfrm>
                          <a:prstGeom prst="rect">
                            <a:avLst/>
                          </a:prstGeom>
                          <a:noFill/>
                        </wps:spPr>
                        <wps:txbx>
                          <w:txbxContent>
                            <w:p w:rsidR="00F45904" w:rsidRPr="001769B4" w:rsidRDefault="00F45904" w:rsidP="00CD6CCB">
                              <w:pPr>
                                <w:pStyle w:val="NormalWeb"/>
                                <w:spacing w:before="0" w:after="0"/>
                                <w:jc w:val="center"/>
                                <w:rPr>
                                  <w:rFonts w:ascii="Times New Roman" w:hAnsi="Times New Roman"/>
                                  <w:b/>
                                  <w:sz w:val="20"/>
                                  <w:lang w:val="en-NZ"/>
                                </w:rPr>
                              </w:pPr>
                              <w:r>
                                <w:rPr>
                                  <w:rFonts w:ascii="Times New Roman" w:hAnsi="Times New Roman"/>
                                  <w:b/>
                                  <w:sz w:val="20"/>
                                  <w:lang w:val="en-NZ"/>
                                </w:rPr>
                                <w:t>1 May 2019</w:t>
                              </w:r>
                            </w:p>
                            <w:p w:rsidR="00F45904" w:rsidRPr="001769B4" w:rsidRDefault="00F45904" w:rsidP="00CD6CCB">
                              <w:pPr>
                                <w:pStyle w:val="NormalWeb"/>
                                <w:spacing w:before="0" w:after="0"/>
                                <w:jc w:val="center"/>
                                <w:rPr>
                                  <w:rFonts w:ascii="Times New Roman" w:hAnsi="Times New Roman"/>
                                  <w:sz w:val="20"/>
                                  <w:lang w:val="en-NZ"/>
                                </w:rPr>
                              </w:pPr>
                              <w:r>
                                <w:rPr>
                                  <w:rFonts w:ascii="Times New Roman" w:hAnsi="Times New Roman"/>
                                  <w:sz w:val="20"/>
                                  <w:lang w:val="en-NZ"/>
                                </w:rPr>
                                <w:t>Construction is finished and the developer creates a unit title for apartment A. Apartment A is transferred to Denise.</w:t>
                              </w:r>
                            </w:p>
                          </w:txbxContent>
                        </wps:txbx>
                        <wps:bodyPr wrap="square" rtlCol="0">
                          <a:spAutoFit/>
                        </wps:bodyPr>
                      </wps:wsp>
                      <wps:wsp>
                        <wps:cNvPr id="20" name="Text Box 20"/>
                        <wps:cNvSpPr txBox="1"/>
                        <wps:spPr>
                          <a:xfrm>
                            <a:off x="54558" y="1834528"/>
                            <a:ext cx="5136539" cy="837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5904" w:rsidRPr="00710064" w:rsidRDefault="00F45904" w:rsidP="00CD6CCB">
                              <w:r w:rsidRPr="00710064">
                                <w:t>The sale of the right to buy A by Cory to Denise is covered by the bright-line test</w:t>
                              </w:r>
                              <w:r>
                                <w:t>.  T</w:t>
                              </w:r>
                              <w:r w:rsidRPr="00710064">
                                <w:t xml:space="preserve">his is because he entered into an agreement to sell apartment </w:t>
                              </w:r>
                              <w:proofErr w:type="gramStart"/>
                              <w:r w:rsidRPr="00710064">
                                <w:t>A</w:t>
                              </w:r>
                              <w:proofErr w:type="gramEnd"/>
                              <w:r w:rsidRPr="00710064">
                                <w:t xml:space="preserve"> (1 </w:t>
                              </w:r>
                              <w:r>
                                <w:t>July 2016</w:t>
                              </w:r>
                              <w:r w:rsidRPr="00710064">
                                <w:t>) within two years of entering a contract to pur</w:t>
                              </w:r>
                              <w:r w:rsidR="00F831BC">
                                <w:t>chase apartment A (1 May 2016).</w:t>
                              </w:r>
                            </w:p>
                            <w:p w:rsidR="00F45904" w:rsidRPr="00710064" w:rsidRDefault="00F45904" w:rsidP="00CD6C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0"/>
                        <wps:cNvSpPr txBox="1"/>
                        <wps:spPr>
                          <a:xfrm>
                            <a:off x="94275" y="35999"/>
                            <a:ext cx="5096850" cy="55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5904" w:rsidRPr="00611D52" w:rsidRDefault="00F45904" w:rsidP="00CD6CCB">
                              <w:pPr>
                                <w:pStyle w:val="NormalWeb"/>
                                <w:spacing w:after="200" w:line="276" w:lineRule="auto"/>
                                <w:rPr>
                                  <w:rFonts w:ascii="Times New Roman" w:eastAsiaTheme="minorHAnsi" w:hAnsi="Times New Roman"/>
                                  <w:sz w:val="22"/>
                                  <w:szCs w:val="22"/>
                                  <w:lang w:val="en-NZ" w:eastAsia="en-US"/>
                                </w:rPr>
                              </w:pPr>
                              <w:r w:rsidRPr="00611D52">
                                <w:rPr>
                                  <w:rFonts w:ascii="Times New Roman" w:eastAsiaTheme="minorHAnsi" w:hAnsi="Times New Roman"/>
                                  <w:sz w:val="22"/>
                                  <w:szCs w:val="22"/>
                                  <w:lang w:val="en-NZ" w:eastAsia="en-US"/>
                                </w:rPr>
                                <w:t>A developer is building an apartment block</w:t>
                              </w:r>
                              <w:r>
                                <w:rPr>
                                  <w:rFonts w:ascii="Times New Roman" w:eastAsiaTheme="minorHAnsi" w:hAnsi="Times New Roman"/>
                                  <w:sz w:val="22"/>
                                  <w:szCs w:val="22"/>
                                  <w:lang w:val="en-NZ" w:eastAsia="en-US"/>
                                </w:rPr>
                                <w:t>.  T</w:t>
                              </w:r>
                              <w:r w:rsidRPr="00611D52">
                                <w:rPr>
                                  <w:rFonts w:ascii="Times New Roman" w:eastAsiaTheme="minorHAnsi" w:hAnsi="Times New Roman"/>
                                  <w:sz w:val="22"/>
                                  <w:szCs w:val="22"/>
                                  <w:lang w:val="en-NZ" w:eastAsia="en-US"/>
                                </w:rPr>
                                <w:t>he developer plans to finish construction in 2019 and is selling rights to the titles of the eventual apartments “off the plan”.</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21" o:spid="_x0000_s1036" editas="canvas" style="width:415.15pt;height:214.15pt;mso-position-horizontal-relative:char;mso-position-vertical-relative:line" coordsize="52724,2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52724;height:27190;visibility:visible;mso-wrap-style:square" stroked="t" strokecolor="black [3213]">
                  <v:fill o:detectmouseclick="t"/>
                  <v:path o:connecttype="none"/>
                </v:shape>
                <v:line id="Straight Connector 11" o:spid="_x0000_s1038" style="position:absolute;visibility:visible;mso-wrap-style:square" from="8754,7295" to="44290,7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cgo8MAAADbAAAADwAAAGRycy9kb3ducmV2LnhtbERPS2vCQBC+C/6HZQq96SZCTUhdJQhC&#10;W0/1Qa9Ddpqkzc6G3W1M++vdguBtPr7nrDaj6cRAzreWFaTzBARxZXXLtYLTcTfLQfiArLGzTAp+&#10;ycNmPZ2ssND2wu80HEItYgj7AhU0IfSFlL5qyKCf2544cp/WGQwRulpqh5cYbjq5SJKlNNhybGiw&#10;p21D1ffhxyjIq7cvV2bla/p07rO/YbFf7j4ypR4fxvIZRKAx3MU394uO81P4/yUeIN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HIKPDAAAA2wAAAA8AAAAAAAAAAAAA&#10;AAAAoQIAAGRycy9kb3ducmV2LnhtbFBLBQYAAAAABAAEAPkAAACRAwAAAAA=&#10;" strokecolor="black [3213]"/>
                <v:line id="Straight Connector 12" o:spid="_x0000_s1039" style="position:absolute;visibility:visible;mso-wrap-style:square" from="8754,7295" to="8754,8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1MIAAADbAAAADwAAAGRycy9kb3ducmV2LnhtbERPTWvCQBC9C/6HZYTe6sZAjURXCYLQ&#10;1lO1xeuQHZNodjbsbmPaX+8WCt7m8T5ntRlMK3pyvrGsYDZNQBCXVjdcKfg87p4XIHxA1thaJgU/&#10;5GGzHo9WmGt74w/qD6ESMYR9jgrqELpcSl/WZNBPbUccubN1BkOErpLa4S2Gm1amSTKXBhuODTV2&#10;tK2pvB6+jYJF+X5xRVa8zV6+uuy3T/fz3SlT6mkyFEsQgYbwEP+7X3Wcn8LfL/EA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W+1MIAAADbAAAADwAAAAAAAAAAAAAA&#10;AAChAgAAZHJzL2Rvd25yZXYueG1sUEsFBgAAAAAEAAQA+QAAAJADAAAAAA==&#10;" strokecolor="black [3213]"/>
                <v:line id="Straight Connector 13" o:spid="_x0000_s1040" style="position:absolute;visibility:visible;mso-wrap-style:square" from="26013,7293" to="26013,8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uaC8QAAADbAAAADwAAAGRycy9kb3ducmV2LnhtbERPTWvCQBC9F/wPyxS8lLoxQVtTVxFF&#10;8BJKUw/tbchOk9DsbMiuSfz3rlDobR7vc9bb0TSip87VlhXMZxEI4sLqmksF58/j8ysI55E1NpZJ&#10;wZUcbDeThzWm2g78QX3uSxFC2KWooPK+TaV0RUUG3cy2xIH7sZ1BH2BXSt3hEMJNI+MoWkqDNYeG&#10;ClvaV1T85hej4HBeDvmqXLw8zZNsXPF7/PWdGaWmj+PuDYSn0f+L/9wnHeYncP8lHCA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C5oLxAAAANsAAAAPAAAAAAAAAAAA&#10;AAAAAKECAABkcnMvZG93bnJldi54bWxQSwUGAAAAAAQABAD5AAAAkgMAAAAA&#10;" strokecolor="black [3213]" strokeweight="1pt"/>
                <v:line id="Straight Connector 14" o:spid="_x0000_s1041" style="position:absolute;visibility:visible;mso-wrap-style:square" from="44290,7353" to="44290,8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ICf8MAAADbAAAADwAAAGRycy9kb3ducmV2LnhtbERPS2vCQBC+C/0PyxR6Ed34qI/UVUQR&#10;vEhp9KC3ITtNgtnZkN2a+O9doeBtPr7nLFatKcWNaldYVjDoRyCIU6sLzhScjrveDITzyBpLy6Tg&#10;Tg5Wy7fOAmNtG/6hW+IzEULYxagg976KpXRpTgZd31bEgfu1tUEfYJ1JXWMTwk0ph1E0kQYLDg05&#10;VrTJKb0mf0bB9jRpknn2Oe0ORod2zt/D8+VglPp4b9dfIDy1/iX+d+91mD+G5y/h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iAn/DAAAA2wAAAA8AAAAAAAAAAAAA&#10;AAAAoQIAAGRycy9kb3ducmV2LnhtbFBLBQYAAAAABAAEAPkAAACRAwAAAAA=&#10;" strokecolor="black [3213]" strokeweight="1pt"/>
                <v:shapetype id="_x0000_t202" coordsize="21600,21600" o:spt="202" path="m,l,21600r21600,l21600,xe">
                  <v:stroke joinstyle="miter"/>
                  <v:path gradientshapeok="t" o:connecttype="rect"/>
                </v:shapetype>
                <v:shape id="TextBox 36" o:spid="_x0000_s1042" type="#_x0000_t202" style="position:absolute;top:9645;width:17957;height:6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F45904" w:rsidRPr="001769B4" w:rsidRDefault="00F45904" w:rsidP="00CD6CCB">
                        <w:pPr>
                          <w:pStyle w:val="NormalWeb"/>
                          <w:spacing w:before="0" w:after="0"/>
                          <w:jc w:val="center"/>
                          <w:rPr>
                            <w:rFonts w:ascii="Times New Roman" w:hAnsi="Times New Roman"/>
                            <w:b/>
                            <w:sz w:val="20"/>
                            <w:lang w:val="en-NZ"/>
                          </w:rPr>
                        </w:pPr>
                        <w:r w:rsidRPr="001769B4">
                          <w:rPr>
                            <w:rFonts w:ascii="Times New Roman" w:hAnsi="Times New Roman"/>
                            <w:b/>
                            <w:sz w:val="20"/>
                            <w:lang w:val="en-NZ"/>
                          </w:rPr>
                          <w:t>1 May 2016</w:t>
                        </w:r>
                      </w:p>
                      <w:p w:rsidR="00F45904" w:rsidRPr="001769B4" w:rsidRDefault="00F45904" w:rsidP="00CD6CCB">
                        <w:pPr>
                          <w:pStyle w:val="NormalWeb"/>
                          <w:spacing w:before="0" w:after="0"/>
                          <w:jc w:val="center"/>
                          <w:rPr>
                            <w:sz w:val="20"/>
                          </w:rPr>
                        </w:pPr>
                        <w:r>
                          <w:rPr>
                            <w:rFonts w:ascii="Times New Roman" w:hAnsi="Times New Roman"/>
                            <w:sz w:val="20"/>
                            <w:lang w:val="en-NZ"/>
                          </w:rPr>
                          <w:t>Developer enters into a contract to sell apartment A to Cory.</w:t>
                        </w:r>
                      </w:p>
                    </w:txbxContent>
                  </v:textbox>
                </v:shape>
                <v:shape id="TextBox 37" o:spid="_x0000_s1043" type="#_x0000_t202" style="position:absolute;left:17095;top:9410;width:17990;height:8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F45904" w:rsidRDefault="00F45904" w:rsidP="00CD6CCB">
                        <w:pPr>
                          <w:pStyle w:val="NormalWeb"/>
                          <w:spacing w:before="0" w:after="0"/>
                          <w:jc w:val="center"/>
                          <w:rPr>
                            <w:rFonts w:ascii="Times New Roman" w:hAnsi="Times New Roman"/>
                            <w:b/>
                            <w:sz w:val="20"/>
                            <w:lang w:val="en-NZ"/>
                          </w:rPr>
                        </w:pPr>
                        <w:r>
                          <w:rPr>
                            <w:rFonts w:ascii="Times New Roman" w:hAnsi="Times New Roman"/>
                            <w:b/>
                            <w:sz w:val="20"/>
                            <w:lang w:val="en-NZ"/>
                          </w:rPr>
                          <w:t>1 July 2016</w:t>
                        </w:r>
                      </w:p>
                      <w:p w:rsidR="00F45904" w:rsidRPr="00714F00" w:rsidRDefault="00F45904" w:rsidP="00CD6CCB">
                        <w:pPr>
                          <w:pStyle w:val="NormalWeb"/>
                          <w:spacing w:before="0" w:after="0"/>
                          <w:jc w:val="center"/>
                          <w:rPr>
                            <w:rFonts w:ascii="Times New Roman" w:hAnsi="Times New Roman"/>
                            <w:sz w:val="20"/>
                            <w:lang w:val="en-NZ"/>
                          </w:rPr>
                        </w:pPr>
                        <w:r>
                          <w:rPr>
                            <w:rFonts w:ascii="Times New Roman" w:hAnsi="Times New Roman"/>
                            <w:sz w:val="20"/>
                            <w:lang w:val="en-NZ"/>
                          </w:rPr>
                          <w:t>Cory enters into an agreement to sell apartment A to Denise.</w:t>
                        </w:r>
                      </w:p>
                    </w:txbxContent>
                  </v:textbox>
                </v:shape>
                <v:shape id="TextBox 46" o:spid="_x0000_s1044" type="#_x0000_t202" style="position:absolute;left:34766;top:9839;width:18002;height:8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TL8A&#10;AADbAAAADwAAAGRycy9kb3ducmV2LnhtbERPS2vCQBC+F/wPywje6saCbYmuIj7AQy+18T5kx2ww&#10;OxuyUxP/vSsUepuP7znL9eAbdaMu1oENzKYZKOIy2JorA8XP4fUTVBRki01gMnCnCOvV6GWJuQ09&#10;f9PtJJVKIRxzNOBE2lzrWDryGKehJU7cJXQeJcGu0rbDPoX7Rr9l2bv2WHNqcNjS1lF5Pf16AyJ2&#10;M7sXex+P5+Fr17usnGNhzGQ8bBaghAb5F/+5jzbN/4D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v9MvwAAANsAAAAPAAAAAAAAAAAAAAAAAJgCAABkcnMvZG93bnJl&#10;di54bWxQSwUGAAAAAAQABAD1AAAAhAMAAAAA&#10;" filled="f" stroked="f">
                  <v:textbox style="mso-fit-shape-to-text:t">
                    <w:txbxContent>
                      <w:p w:rsidR="00F45904" w:rsidRPr="001769B4" w:rsidRDefault="00F45904" w:rsidP="00CD6CCB">
                        <w:pPr>
                          <w:pStyle w:val="NormalWeb"/>
                          <w:spacing w:before="0" w:after="0"/>
                          <w:jc w:val="center"/>
                          <w:rPr>
                            <w:rFonts w:ascii="Times New Roman" w:hAnsi="Times New Roman"/>
                            <w:b/>
                            <w:sz w:val="20"/>
                            <w:lang w:val="en-NZ"/>
                          </w:rPr>
                        </w:pPr>
                        <w:r>
                          <w:rPr>
                            <w:rFonts w:ascii="Times New Roman" w:hAnsi="Times New Roman"/>
                            <w:b/>
                            <w:sz w:val="20"/>
                            <w:lang w:val="en-NZ"/>
                          </w:rPr>
                          <w:t>1 May 2019</w:t>
                        </w:r>
                      </w:p>
                      <w:p w:rsidR="00F45904" w:rsidRPr="001769B4" w:rsidRDefault="00F45904" w:rsidP="00CD6CCB">
                        <w:pPr>
                          <w:pStyle w:val="NormalWeb"/>
                          <w:spacing w:before="0" w:after="0"/>
                          <w:jc w:val="center"/>
                          <w:rPr>
                            <w:rFonts w:ascii="Times New Roman" w:hAnsi="Times New Roman"/>
                            <w:sz w:val="20"/>
                            <w:lang w:val="en-NZ"/>
                          </w:rPr>
                        </w:pPr>
                        <w:r>
                          <w:rPr>
                            <w:rFonts w:ascii="Times New Roman" w:hAnsi="Times New Roman"/>
                            <w:sz w:val="20"/>
                            <w:lang w:val="en-NZ"/>
                          </w:rPr>
                          <w:t>Construction is finished and the developer creates a unit title for apartment A. Apartment A is transferred to Denise.</w:t>
                        </w:r>
                      </w:p>
                    </w:txbxContent>
                  </v:textbox>
                </v:shape>
                <v:shape id="Text Box 20" o:spid="_x0000_s1045" type="#_x0000_t202" style="position:absolute;left:545;top:18345;width:51365;height:8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ZcIA&#10;AADbAAAADwAAAGRycy9kb3ducmV2LnhtbERPy2rCQBTdC/7DcAU3RSdVWiU6Sik+irsaH7i7ZK5J&#10;aOZOyIxJ+vedRcHl4byX686UoqHaFZYVvI4jEMSp1QVnCk7JdjQH4TyyxtIyKfglB+tVv7fEWNuW&#10;v6k5+kyEEHYxKsi9r2IpXZqTQTe2FXHg7rY26AOsM6lrbEO4KeUkit6lwYJDQ44VfeaU/hwfRsHt&#10;JbseXLc7t9O3abXZN8nsohOlhoPuYwHCU+ef4n/3l1YwCev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41lwgAAANsAAAAPAAAAAAAAAAAAAAAAAJgCAABkcnMvZG93&#10;bnJldi54bWxQSwUGAAAAAAQABAD1AAAAhwMAAAAA&#10;" fillcolor="white [3201]" stroked="f" strokeweight=".5pt">
                  <v:textbox>
                    <w:txbxContent>
                      <w:p w:rsidR="00F45904" w:rsidRPr="00710064" w:rsidRDefault="00F45904" w:rsidP="00CD6CCB">
                        <w:r w:rsidRPr="00710064">
                          <w:t>The sale of the right to buy A by Cory to Denise is covered by the bright-line test</w:t>
                        </w:r>
                        <w:r>
                          <w:t>.  T</w:t>
                        </w:r>
                        <w:r w:rsidRPr="00710064">
                          <w:t xml:space="preserve">his is because he entered into an agreement to sell apartment </w:t>
                        </w:r>
                        <w:proofErr w:type="gramStart"/>
                        <w:r w:rsidRPr="00710064">
                          <w:t>A</w:t>
                        </w:r>
                        <w:proofErr w:type="gramEnd"/>
                        <w:r w:rsidRPr="00710064">
                          <w:t xml:space="preserve"> (1 </w:t>
                        </w:r>
                        <w:r>
                          <w:t>July 2016</w:t>
                        </w:r>
                        <w:r w:rsidRPr="00710064">
                          <w:t>) within two years of entering a contract to pur</w:t>
                        </w:r>
                        <w:r w:rsidR="00F831BC">
                          <w:t>chase apartment A (1 May 2016).</w:t>
                        </w:r>
                      </w:p>
                      <w:p w:rsidR="00F45904" w:rsidRPr="00710064" w:rsidRDefault="00F45904" w:rsidP="00CD6CCB"/>
                    </w:txbxContent>
                  </v:textbox>
                </v:shape>
                <v:shape id="Text Box 20" o:spid="_x0000_s1046" type="#_x0000_t202" style="position:absolute;left:942;top:359;width:50969;height:5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k+MYA&#10;AADbAAAADwAAAGRycy9kb3ducmV2LnhtbESPQWvCQBSE7wX/w/KEXkQ3Kq02dRWRVqU3jbb09si+&#10;JsHs25DdJvHfuwWhx2FmvmEWq86UoqHaFZYVjEcRCOLU6oIzBafkfTgH4TyyxtIyKbiSg9Wy97DA&#10;WNuWD9QcfSYChF2MCnLvq1hKl+Zk0I1sRRy8H1sb9EHWmdQ1tgFuSjmJomdpsOCwkGNFm5zSy/HX&#10;KPgeZF8frtue2+nTtHrbNcnsUydKPfa79SsIT53/D9/be61g8gJ/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Uk+MYAAADbAAAADwAAAAAAAAAAAAAAAACYAgAAZHJz&#10;L2Rvd25yZXYueG1sUEsFBgAAAAAEAAQA9QAAAIsDAAAAAA==&#10;" fillcolor="white [3201]" stroked="f" strokeweight=".5pt">
                  <v:textbox>
                    <w:txbxContent>
                      <w:p w:rsidR="00F45904" w:rsidRPr="00611D52" w:rsidRDefault="00F45904" w:rsidP="00CD6CCB">
                        <w:pPr>
                          <w:pStyle w:val="NormalWeb"/>
                          <w:spacing w:after="200" w:line="276" w:lineRule="auto"/>
                          <w:rPr>
                            <w:rFonts w:ascii="Times New Roman" w:eastAsiaTheme="minorHAnsi" w:hAnsi="Times New Roman"/>
                            <w:sz w:val="22"/>
                            <w:szCs w:val="22"/>
                            <w:lang w:val="en-NZ" w:eastAsia="en-US"/>
                          </w:rPr>
                        </w:pPr>
                        <w:r w:rsidRPr="00611D52">
                          <w:rPr>
                            <w:rFonts w:ascii="Times New Roman" w:eastAsiaTheme="minorHAnsi" w:hAnsi="Times New Roman"/>
                            <w:sz w:val="22"/>
                            <w:szCs w:val="22"/>
                            <w:lang w:val="en-NZ" w:eastAsia="en-US"/>
                          </w:rPr>
                          <w:t>A developer is building an apartment block</w:t>
                        </w:r>
                        <w:r>
                          <w:rPr>
                            <w:rFonts w:ascii="Times New Roman" w:eastAsiaTheme="minorHAnsi" w:hAnsi="Times New Roman"/>
                            <w:sz w:val="22"/>
                            <w:szCs w:val="22"/>
                            <w:lang w:val="en-NZ" w:eastAsia="en-US"/>
                          </w:rPr>
                          <w:t>.  T</w:t>
                        </w:r>
                        <w:r w:rsidRPr="00611D52">
                          <w:rPr>
                            <w:rFonts w:ascii="Times New Roman" w:eastAsiaTheme="minorHAnsi" w:hAnsi="Times New Roman"/>
                            <w:sz w:val="22"/>
                            <w:szCs w:val="22"/>
                            <w:lang w:val="en-NZ" w:eastAsia="en-US"/>
                          </w:rPr>
                          <w:t>he developer plans to finish construction in 2019 and is selling rights to the titles of the eventual apartments “off the plan”.</w:t>
                        </w:r>
                      </w:p>
                    </w:txbxContent>
                  </v:textbox>
                </v:shape>
                <w10:anchorlock/>
              </v:group>
            </w:pict>
          </mc:Fallback>
        </mc:AlternateContent>
      </w:r>
    </w:p>
    <w:p w:rsidR="00CD6CCB" w:rsidRPr="00E5747E" w:rsidRDefault="00CD6CCB" w:rsidP="00CD6CCB"/>
    <w:p w:rsidR="009062CE" w:rsidRDefault="009062CE" w:rsidP="00CD6CCB">
      <w:pPr>
        <w:rPr>
          <w:b/>
          <w:i/>
        </w:rPr>
      </w:pPr>
      <w:r>
        <w:rPr>
          <w:b/>
          <w:i/>
        </w:rPr>
        <w:t xml:space="preserve">Sale </w:t>
      </w:r>
      <w:proofErr w:type="gramStart"/>
      <w:r>
        <w:rPr>
          <w:b/>
          <w:i/>
        </w:rPr>
        <w:t>off</w:t>
      </w:r>
      <w:proofErr w:type="gramEnd"/>
      <w:r>
        <w:rPr>
          <w:b/>
          <w:i/>
        </w:rPr>
        <w:t xml:space="preserve"> the plan and there is registration of title.</w:t>
      </w:r>
    </w:p>
    <w:p w:rsidR="009062CE" w:rsidRPr="00E5747E" w:rsidRDefault="009062CE" w:rsidP="00CD6CCB"/>
    <w:p w:rsidR="009062CE" w:rsidRDefault="009062CE" w:rsidP="00CD6CCB">
      <w:pPr>
        <w:rPr>
          <w:b/>
          <w:i/>
        </w:rPr>
      </w:pPr>
      <w:r w:rsidRPr="005E2810">
        <w:rPr>
          <w:noProof/>
          <w:lang w:val="en-NZ" w:eastAsia="en-NZ"/>
        </w:rPr>
        <mc:AlternateContent>
          <mc:Choice Requires="wpc">
            <w:drawing>
              <wp:inline distT="0" distB="0" distL="0" distR="0" wp14:anchorId="16C1C43A" wp14:editId="2291A2BD">
                <wp:extent cx="5276216" cy="2719070"/>
                <wp:effectExtent l="0" t="0" r="19685" b="24130"/>
                <wp:docPr id="19"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1" name="Straight Connector 1"/>
                        <wps:cNvCnPr/>
                        <wps:spPr>
                          <a:xfrm>
                            <a:off x="875420" y="729512"/>
                            <a:ext cx="3553679" cy="58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875420" y="729512"/>
                            <a:ext cx="0" cy="15130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2601354" y="729347"/>
                            <a:ext cx="0" cy="1513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4429099" y="735339"/>
                            <a:ext cx="0" cy="1513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TextBox 36"/>
                        <wps:cNvSpPr txBox="1"/>
                        <wps:spPr>
                          <a:xfrm>
                            <a:off x="0" y="964593"/>
                            <a:ext cx="1795780" cy="675640"/>
                          </a:xfrm>
                          <a:prstGeom prst="rect">
                            <a:avLst/>
                          </a:prstGeom>
                          <a:noFill/>
                        </wps:spPr>
                        <wps:txbx>
                          <w:txbxContent>
                            <w:p w:rsidR="00F45904" w:rsidRPr="001769B4" w:rsidRDefault="00F45904" w:rsidP="009062CE">
                              <w:pPr>
                                <w:pStyle w:val="NormalWeb"/>
                                <w:spacing w:before="0" w:after="0"/>
                                <w:jc w:val="center"/>
                                <w:rPr>
                                  <w:rFonts w:ascii="Times New Roman" w:hAnsi="Times New Roman"/>
                                  <w:b/>
                                  <w:sz w:val="20"/>
                                  <w:lang w:val="en-NZ"/>
                                </w:rPr>
                              </w:pPr>
                              <w:r w:rsidRPr="001769B4">
                                <w:rPr>
                                  <w:rFonts w:ascii="Times New Roman" w:hAnsi="Times New Roman"/>
                                  <w:b/>
                                  <w:sz w:val="20"/>
                                  <w:lang w:val="en-NZ"/>
                                </w:rPr>
                                <w:t>1 May 2016</w:t>
                              </w:r>
                            </w:p>
                            <w:p w:rsidR="00F45904" w:rsidRPr="001769B4" w:rsidRDefault="00F45904" w:rsidP="009062CE">
                              <w:pPr>
                                <w:pStyle w:val="NormalWeb"/>
                                <w:spacing w:before="0" w:after="0"/>
                                <w:jc w:val="center"/>
                                <w:rPr>
                                  <w:sz w:val="20"/>
                                </w:rPr>
                              </w:pPr>
                              <w:r>
                                <w:rPr>
                                  <w:rFonts w:ascii="Times New Roman" w:hAnsi="Times New Roman"/>
                                  <w:sz w:val="20"/>
                                  <w:lang w:val="en-NZ"/>
                                </w:rPr>
                                <w:t>Developer enters into a contract to sell apartment A to Peter.</w:t>
                              </w:r>
                            </w:p>
                          </w:txbxContent>
                        </wps:txbx>
                        <wps:bodyPr wrap="square" rtlCol="0">
                          <a:spAutoFit/>
                        </wps:bodyPr>
                      </wps:wsp>
                      <wps:wsp>
                        <wps:cNvPr id="7" name="TextBox 37"/>
                        <wps:cNvSpPr txBox="1"/>
                        <wps:spPr>
                          <a:xfrm>
                            <a:off x="1709585" y="941058"/>
                            <a:ext cx="1798955" cy="894120"/>
                          </a:xfrm>
                          <a:prstGeom prst="rect">
                            <a:avLst/>
                          </a:prstGeom>
                          <a:noFill/>
                        </wps:spPr>
                        <wps:txbx>
                          <w:txbxContent>
                            <w:p w:rsidR="00F45904" w:rsidRDefault="00F45904" w:rsidP="009062CE">
                              <w:pPr>
                                <w:pStyle w:val="NormalWeb"/>
                                <w:spacing w:before="0" w:after="0"/>
                                <w:jc w:val="center"/>
                                <w:rPr>
                                  <w:rFonts w:ascii="Times New Roman" w:hAnsi="Times New Roman"/>
                                  <w:b/>
                                  <w:sz w:val="20"/>
                                  <w:lang w:val="en-NZ"/>
                                </w:rPr>
                              </w:pPr>
                              <w:r>
                                <w:rPr>
                                  <w:rFonts w:ascii="Times New Roman" w:hAnsi="Times New Roman"/>
                                  <w:b/>
                                  <w:sz w:val="20"/>
                                  <w:lang w:val="en-NZ"/>
                                </w:rPr>
                                <w:t>1 May 2017</w:t>
                              </w:r>
                            </w:p>
                            <w:p w:rsidR="00F45904" w:rsidRPr="00714F00" w:rsidRDefault="00F45904" w:rsidP="009062CE">
                              <w:pPr>
                                <w:pStyle w:val="NormalWeb"/>
                                <w:spacing w:before="0" w:after="0"/>
                                <w:jc w:val="center"/>
                                <w:rPr>
                                  <w:rFonts w:ascii="Times New Roman" w:hAnsi="Times New Roman"/>
                                  <w:sz w:val="20"/>
                                  <w:lang w:val="en-NZ"/>
                                </w:rPr>
                              </w:pPr>
                              <w:r>
                                <w:rPr>
                                  <w:rFonts w:ascii="Times New Roman" w:hAnsi="Times New Roman"/>
                                  <w:sz w:val="20"/>
                                  <w:lang w:val="en-NZ"/>
                                </w:rPr>
                                <w:t>Construction is finished and Peter obtains registered title to land.</w:t>
                              </w:r>
                            </w:p>
                          </w:txbxContent>
                        </wps:txbx>
                        <wps:bodyPr wrap="square" rtlCol="0">
                          <a:noAutofit/>
                        </wps:bodyPr>
                      </wps:wsp>
                      <wps:wsp>
                        <wps:cNvPr id="8" name="TextBox 46"/>
                        <wps:cNvSpPr txBox="1"/>
                        <wps:spPr>
                          <a:xfrm>
                            <a:off x="3475982" y="983814"/>
                            <a:ext cx="1800225" cy="529590"/>
                          </a:xfrm>
                          <a:prstGeom prst="rect">
                            <a:avLst/>
                          </a:prstGeom>
                          <a:noFill/>
                        </wps:spPr>
                        <wps:txbx>
                          <w:txbxContent>
                            <w:p w:rsidR="00F45904" w:rsidRPr="001769B4" w:rsidRDefault="00F45904" w:rsidP="009062CE">
                              <w:pPr>
                                <w:pStyle w:val="NormalWeb"/>
                                <w:spacing w:before="0" w:after="0"/>
                                <w:jc w:val="center"/>
                                <w:rPr>
                                  <w:rFonts w:ascii="Times New Roman" w:hAnsi="Times New Roman"/>
                                  <w:b/>
                                  <w:sz w:val="20"/>
                                  <w:lang w:val="en-NZ"/>
                                </w:rPr>
                              </w:pPr>
                              <w:r>
                                <w:rPr>
                                  <w:rFonts w:ascii="Times New Roman" w:hAnsi="Times New Roman"/>
                                  <w:b/>
                                  <w:sz w:val="20"/>
                                  <w:lang w:val="en-NZ"/>
                                </w:rPr>
                                <w:t>1 July 2018</w:t>
                              </w:r>
                            </w:p>
                            <w:p w:rsidR="00F45904" w:rsidRPr="001769B4" w:rsidRDefault="00F45904" w:rsidP="009062CE">
                              <w:pPr>
                                <w:pStyle w:val="NormalWeb"/>
                                <w:spacing w:before="0" w:after="0"/>
                                <w:jc w:val="center"/>
                                <w:rPr>
                                  <w:rFonts w:ascii="Times New Roman" w:hAnsi="Times New Roman"/>
                                  <w:sz w:val="20"/>
                                  <w:lang w:val="en-NZ"/>
                                </w:rPr>
                              </w:pPr>
                              <w:r>
                                <w:rPr>
                                  <w:rFonts w:ascii="Times New Roman" w:hAnsi="Times New Roman"/>
                                  <w:sz w:val="20"/>
                                  <w:lang w:val="en-NZ"/>
                                </w:rPr>
                                <w:t>Peter enters into an agreement to sell the land to Paul.</w:t>
                              </w:r>
                            </w:p>
                          </w:txbxContent>
                        </wps:txbx>
                        <wps:bodyPr wrap="square" rtlCol="0">
                          <a:spAutoFit/>
                        </wps:bodyPr>
                      </wps:wsp>
                      <wps:wsp>
                        <wps:cNvPr id="9" name="Text Box 9"/>
                        <wps:cNvSpPr txBox="1"/>
                        <wps:spPr>
                          <a:xfrm>
                            <a:off x="54558" y="1834528"/>
                            <a:ext cx="5136539" cy="837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5904" w:rsidRPr="00710064" w:rsidRDefault="00F45904" w:rsidP="009062CE">
                              <w:r>
                                <w:t>The sale of the land from Peter to Paul is covered by the bright-line test.  This is because the start date for the bright-line is 1 May 2017 (the date Peter obtained registered title) and the end date is 1 July 2018 (the date Peter enters into an agreement for sale of the land).</w:t>
                              </w:r>
                            </w:p>
                            <w:p w:rsidR="00F45904" w:rsidRPr="00710064" w:rsidRDefault="00F45904" w:rsidP="009062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20"/>
                        <wps:cNvSpPr txBox="1"/>
                        <wps:spPr>
                          <a:xfrm>
                            <a:off x="94275" y="35999"/>
                            <a:ext cx="5096850" cy="55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5904" w:rsidRPr="00611D52" w:rsidRDefault="00F45904" w:rsidP="009062CE">
                              <w:pPr>
                                <w:pStyle w:val="NormalWeb"/>
                                <w:spacing w:after="200" w:line="276" w:lineRule="auto"/>
                                <w:rPr>
                                  <w:rFonts w:ascii="Times New Roman" w:eastAsiaTheme="minorHAnsi" w:hAnsi="Times New Roman"/>
                                  <w:sz w:val="22"/>
                                  <w:szCs w:val="22"/>
                                  <w:lang w:val="en-NZ" w:eastAsia="en-US"/>
                                </w:rPr>
                              </w:pPr>
                              <w:r w:rsidRPr="00611D52">
                                <w:rPr>
                                  <w:rFonts w:ascii="Times New Roman" w:eastAsiaTheme="minorHAnsi" w:hAnsi="Times New Roman"/>
                                  <w:sz w:val="22"/>
                                  <w:szCs w:val="22"/>
                                  <w:lang w:val="en-NZ" w:eastAsia="en-US"/>
                                </w:rPr>
                                <w:t>A developer is building an apartment block</w:t>
                              </w:r>
                              <w:r>
                                <w:rPr>
                                  <w:rFonts w:ascii="Times New Roman" w:eastAsiaTheme="minorHAnsi" w:hAnsi="Times New Roman"/>
                                  <w:sz w:val="22"/>
                                  <w:szCs w:val="22"/>
                                  <w:lang w:val="en-NZ" w:eastAsia="en-US"/>
                                </w:rPr>
                                <w:t>.  T</w:t>
                              </w:r>
                              <w:r w:rsidRPr="00611D52">
                                <w:rPr>
                                  <w:rFonts w:ascii="Times New Roman" w:eastAsiaTheme="minorHAnsi" w:hAnsi="Times New Roman"/>
                                  <w:sz w:val="22"/>
                                  <w:szCs w:val="22"/>
                                  <w:lang w:val="en-NZ" w:eastAsia="en-US"/>
                                </w:rPr>
                                <w:t>he developer plans to finish construction in 2019 and is selling rights to the titles of the eventual apartments “off the plan”.</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19" o:spid="_x0000_s1047" editas="canvas" style="width:415.45pt;height:214.1pt;mso-position-horizontal-relative:char;mso-position-vertical-relative:line" coordsize="52762,2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">
                <v:shape id="_x0000_s1048" type="#_x0000_t75" style="position:absolute;width:52762;height:27190;visibility:visible;mso-wrap-style:square" stroked="t" strokecolor="black [3213]">
                  <v:fill o:detectmouseclick="t"/>
                  <v:path o:connecttype="none"/>
                </v:shape>
                <v:line id="Straight Connector 1" o:spid="_x0000_s1049" style="position:absolute;visibility:visible;mso-wrap-style:square" from="8754,7295" to="44290,7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jlbsEAAADaAAAADwAAAGRycy9kb3ducmV2LnhtbERPTWvCQBC9F/wPywi91Y1CjURXCYKg&#10;7Ulb8TpkxySanQ27a0z7612h0NPweJ+zWPWmER05X1tWMB4lIIgLq2suFXx/bd5mIHxA1thYJgU/&#10;5GG1HLwsMNP2znvqDqEUMYR9hgqqENpMSl9UZNCPbEscubN1BkOErpTa4T2Gm0ZOkmQqDdYcGyps&#10;aV1RcT3cjIJZ8XFxeZrvxu/HNv3tJp/TzSlV6nXY53MQgfrwL/5zb3WcD89Xnl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qOVuwQAAANoAAAAPAAAAAAAAAAAAAAAA&#10;AKECAABkcnMvZG93bnJldi54bWxQSwUGAAAAAAQABAD5AAAAjwMAAAAA&#10;" strokecolor="black [3213]"/>
                <v:line id="Straight Connector 2" o:spid="_x0000_s1050" style="position:absolute;visibility:visible;mso-wrap-style:square" from="8754,7295" to="8754,8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7GcQAAADaAAAADwAAAGRycy9kb3ducmV2LnhtbESPQWvCQBSE7wX/w/IEb7oxUBNSVwmC&#10;0NpTtaXXR/Y1Sc2+DbvbGP313YLQ4zAz3zDr7Wg6MZDzrWUFy0UCgriyuuVawftpP89B+ICssbNM&#10;Cq7kYbuZPKyx0PbCbzQcQy0ihH2BCpoQ+kJKXzVk0C9sTxy9L+sMhihdLbXDS4SbTqZJspIGW44L&#10;Dfa0a6g6H3+Mgrw6fLsyK1+Wjx99dhvS19X+M1NqNh3LJxCBxvAfvreftYIU/q7EG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nsZxAAAANoAAAAPAAAAAAAAAAAA&#10;AAAAAKECAABkcnMvZG93bnJldi54bWxQSwUGAAAAAAQABAD5AAAAkgMAAAAA&#10;" strokecolor="black [3213]"/>
                <v:line id="Straight Connector 3" o:spid="_x0000_s1051" style="position:absolute;visibility:visible;mso-wrap-style:square" from="26013,7293" to="26013,8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ZhB8UAAADaAAAADwAAAGRycy9kb3ducmV2LnhtbESPQWvCQBSE7wX/w/IKXkrdmKCtqauI&#10;IngJpamH9vbIviah2bchuybx37tCocdhZr5h1tvRNKKnztWWFcxnEQjiwuqaSwXnz+PzKwjnkTU2&#10;lknBlRxsN5OHNabaDvxBfe5LESDsUlRQed+mUrqiIoNuZlvi4P3YzqAPsiul7nAIcNPIOIqW0mDN&#10;YaHClvYVFb/5xSg4nJdDvioXL0/zJBtX/B5/fWdGqenjuHsD4Wn0/+G/9kkrSOB+JdwAu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ZhB8UAAADaAAAADwAAAAAAAAAA&#10;AAAAAAChAgAAZHJzL2Rvd25yZXYueG1sUEsFBgAAAAAEAAQA+QAAAJMDAAAAAA==&#10;" strokecolor="black [3213]" strokeweight="1pt"/>
                <v:line id="Straight Connector 4" o:spid="_x0000_s1052" style="position:absolute;visibility:visible;mso-wrap-style:square" from="44290,7353" to="44290,8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5c8UAAADaAAAADwAAAGRycy9kb3ducmV2LnhtbESPzWvCQBTE70L/h+UVehHd+FE/UlcR&#10;RfAipdGD3h7Z1ySYfRuyWxP/e1coeBxm5jfMYtWaUtyodoVlBYN+BII4tbrgTMHpuOvNQDiPrLG0&#10;TAru5GC1fOssMNa24R+6JT4TAcIuRgW591UspUtzMuj6tiIO3q+tDfog60zqGpsAN6UcRtFEGiw4&#10;LORY0San9Jr8GQXb06RJ5tnntDsYHdo5fw/Pl4NR6uO9XX+B8NT6V/i/vdcKxvC8Em6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N/5c8UAAADaAAAADwAAAAAAAAAA&#10;AAAAAAChAgAAZHJzL2Rvd25yZXYueG1sUEsFBgAAAAAEAAQA+QAAAJMDAAAAAA==&#10;" strokecolor="black [3213]" strokeweight="1pt"/>
                <v:shape id="TextBox 36" o:spid="_x0000_s1053" type="#_x0000_t202" style="position:absolute;top:9645;width:17957;height:6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F45904" w:rsidRPr="001769B4" w:rsidRDefault="00F45904" w:rsidP="009062CE">
                        <w:pPr>
                          <w:pStyle w:val="NormalWeb"/>
                          <w:spacing w:before="0" w:after="0"/>
                          <w:jc w:val="center"/>
                          <w:rPr>
                            <w:rFonts w:ascii="Times New Roman" w:hAnsi="Times New Roman"/>
                            <w:b/>
                            <w:sz w:val="20"/>
                            <w:lang w:val="en-NZ"/>
                          </w:rPr>
                        </w:pPr>
                        <w:r w:rsidRPr="001769B4">
                          <w:rPr>
                            <w:rFonts w:ascii="Times New Roman" w:hAnsi="Times New Roman"/>
                            <w:b/>
                            <w:sz w:val="20"/>
                            <w:lang w:val="en-NZ"/>
                          </w:rPr>
                          <w:t>1 May 2016</w:t>
                        </w:r>
                      </w:p>
                      <w:p w:rsidR="00F45904" w:rsidRPr="001769B4" w:rsidRDefault="00F45904" w:rsidP="009062CE">
                        <w:pPr>
                          <w:pStyle w:val="NormalWeb"/>
                          <w:spacing w:before="0" w:after="0"/>
                          <w:jc w:val="center"/>
                          <w:rPr>
                            <w:sz w:val="20"/>
                          </w:rPr>
                        </w:pPr>
                        <w:r>
                          <w:rPr>
                            <w:rFonts w:ascii="Times New Roman" w:hAnsi="Times New Roman"/>
                            <w:sz w:val="20"/>
                            <w:lang w:val="en-NZ"/>
                          </w:rPr>
                          <w:t>Developer enters into a contract to sell apartment A to Peter.</w:t>
                        </w:r>
                      </w:p>
                    </w:txbxContent>
                  </v:textbox>
                </v:shape>
                <v:shape id="TextBox 37" o:spid="_x0000_s1054" type="#_x0000_t202" style="position:absolute;left:17095;top:9410;width:17990;height:8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F45904" w:rsidRDefault="00F45904" w:rsidP="009062CE">
                        <w:pPr>
                          <w:pStyle w:val="NormalWeb"/>
                          <w:spacing w:before="0" w:after="0"/>
                          <w:jc w:val="center"/>
                          <w:rPr>
                            <w:rFonts w:ascii="Times New Roman" w:hAnsi="Times New Roman"/>
                            <w:b/>
                            <w:sz w:val="20"/>
                            <w:lang w:val="en-NZ"/>
                          </w:rPr>
                        </w:pPr>
                        <w:r>
                          <w:rPr>
                            <w:rFonts w:ascii="Times New Roman" w:hAnsi="Times New Roman"/>
                            <w:b/>
                            <w:sz w:val="20"/>
                            <w:lang w:val="en-NZ"/>
                          </w:rPr>
                          <w:t>1 May 2017</w:t>
                        </w:r>
                      </w:p>
                      <w:p w:rsidR="00F45904" w:rsidRPr="00714F00" w:rsidRDefault="00F45904" w:rsidP="009062CE">
                        <w:pPr>
                          <w:pStyle w:val="NormalWeb"/>
                          <w:spacing w:before="0" w:after="0"/>
                          <w:jc w:val="center"/>
                          <w:rPr>
                            <w:rFonts w:ascii="Times New Roman" w:hAnsi="Times New Roman"/>
                            <w:sz w:val="20"/>
                            <w:lang w:val="en-NZ"/>
                          </w:rPr>
                        </w:pPr>
                        <w:r>
                          <w:rPr>
                            <w:rFonts w:ascii="Times New Roman" w:hAnsi="Times New Roman"/>
                            <w:sz w:val="20"/>
                            <w:lang w:val="en-NZ"/>
                          </w:rPr>
                          <w:t>Construction is finished and Peter obtains registered title to land.</w:t>
                        </w:r>
                      </w:p>
                    </w:txbxContent>
                  </v:textbox>
                </v:shape>
                <v:shape id="TextBox 46" o:spid="_x0000_s1055" type="#_x0000_t202" style="position:absolute;left:34759;top:9838;width:18003;height:5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F45904" w:rsidRPr="001769B4" w:rsidRDefault="00F45904" w:rsidP="009062CE">
                        <w:pPr>
                          <w:pStyle w:val="NormalWeb"/>
                          <w:spacing w:before="0" w:after="0"/>
                          <w:jc w:val="center"/>
                          <w:rPr>
                            <w:rFonts w:ascii="Times New Roman" w:hAnsi="Times New Roman"/>
                            <w:b/>
                            <w:sz w:val="20"/>
                            <w:lang w:val="en-NZ"/>
                          </w:rPr>
                        </w:pPr>
                        <w:r>
                          <w:rPr>
                            <w:rFonts w:ascii="Times New Roman" w:hAnsi="Times New Roman"/>
                            <w:b/>
                            <w:sz w:val="20"/>
                            <w:lang w:val="en-NZ"/>
                          </w:rPr>
                          <w:t>1 July 2018</w:t>
                        </w:r>
                      </w:p>
                      <w:p w:rsidR="00F45904" w:rsidRPr="001769B4" w:rsidRDefault="00F45904" w:rsidP="009062CE">
                        <w:pPr>
                          <w:pStyle w:val="NormalWeb"/>
                          <w:spacing w:before="0" w:after="0"/>
                          <w:jc w:val="center"/>
                          <w:rPr>
                            <w:rFonts w:ascii="Times New Roman" w:hAnsi="Times New Roman"/>
                            <w:sz w:val="20"/>
                            <w:lang w:val="en-NZ"/>
                          </w:rPr>
                        </w:pPr>
                        <w:r>
                          <w:rPr>
                            <w:rFonts w:ascii="Times New Roman" w:hAnsi="Times New Roman"/>
                            <w:sz w:val="20"/>
                            <w:lang w:val="en-NZ"/>
                          </w:rPr>
                          <w:t>Peter enters into an agreement to sell the land to Paul.</w:t>
                        </w:r>
                      </w:p>
                    </w:txbxContent>
                  </v:textbox>
                </v:shape>
                <v:shape id="Text Box 9" o:spid="_x0000_s1056" type="#_x0000_t202" style="position:absolute;left:545;top:18345;width:51365;height:8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F45904" w:rsidRPr="00710064" w:rsidRDefault="00F45904" w:rsidP="009062CE">
                        <w:r>
                          <w:t>The sale of the land from Peter to Paul is covered by the bright-line test.  This is because the start date for the bright-line is 1 May 2017 (the date Peter obtained registered title) and the end date is 1 July 2018 (the date Peter enters into an agreement for sale of the land).</w:t>
                        </w:r>
                      </w:p>
                      <w:p w:rsidR="00F45904" w:rsidRPr="00710064" w:rsidRDefault="00F45904" w:rsidP="009062CE"/>
                    </w:txbxContent>
                  </v:textbox>
                </v:shape>
                <v:shape id="Text Box 20" o:spid="_x0000_s1057" type="#_x0000_t202" style="position:absolute;left:942;top:359;width:50969;height:5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H2M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CFX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H2MYAAADbAAAADwAAAAAAAAAAAAAAAACYAgAAZHJz&#10;L2Rvd25yZXYueG1sUEsFBgAAAAAEAAQA9QAAAIsDAAAAAA==&#10;" fillcolor="white [3201]" stroked="f" strokeweight=".5pt">
                  <v:textbox>
                    <w:txbxContent>
                      <w:p w:rsidR="00F45904" w:rsidRPr="00611D52" w:rsidRDefault="00F45904" w:rsidP="009062CE">
                        <w:pPr>
                          <w:pStyle w:val="NormalWeb"/>
                          <w:spacing w:after="200" w:line="276" w:lineRule="auto"/>
                          <w:rPr>
                            <w:rFonts w:ascii="Times New Roman" w:eastAsiaTheme="minorHAnsi" w:hAnsi="Times New Roman"/>
                            <w:sz w:val="22"/>
                            <w:szCs w:val="22"/>
                            <w:lang w:val="en-NZ" w:eastAsia="en-US"/>
                          </w:rPr>
                        </w:pPr>
                        <w:r w:rsidRPr="00611D52">
                          <w:rPr>
                            <w:rFonts w:ascii="Times New Roman" w:eastAsiaTheme="minorHAnsi" w:hAnsi="Times New Roman"/>
                            <w:sz w:val="22"/>
                            <w:szCs w:val="22"/>
                            <w:lang w:val="en-NZ" w:eastAsia="en-US"/>
                          </w:rPr>
                          <w:t>A developer is building an apartment block</w:t>
                        </w:r>
                        <w:r>
                          <w:rPr>
                            <w:rFonts w:ascii="Times New Roman" w:eastAsiaTheme="minorHAnsi" w:hAnsi="Times New Roman"/>
                            <w:sz w:val="22"/>
                            <w:szCs w:val="22"/>
                            <w:lang w:val="en-NZ" w:eastAsia="en-US"/>
                          </w:rPr>
                          <w:t>.  T</w:t>
                        </w:r>
                        <w:r w:rsidRPr="00611D52">
                          <w:rPr>
                            <w:rFonts w:ascii="Times New Roman" w:eastAsiaTheme="minorHAnsi" w:hAnsi="Times New Roman"/>
                            <w:sz w:val="22"/>
                            <w:szCs w:val="22"/>
                            <w:lang w:val="en-NZ" w:eastAsia="en-US"/>
                          </w:rPr>
                          <w:t>he developer plans to finish construction in 2019 and is selling rights to the titles of the eventual apartments “off the plan”.</w:t>
                        </w:r>
                      </w:p>
                    </w:txbxContent>
                  </v:textbox>
                </v:shape>
                <w10:anchorlock/>
              </v:group>
            </w:pict>
          </mc:Fallback>
        </mc:AlternateContent>
      </w:r>
    </w:p>
    <w:p w:rsidR="009062CE" w:rsidRPr="00E5747E" w:rsidRDefault="009062CE" w:rsidP="00CD6CCB"/>
    <w:p w:rsidR="009062CE" w:rsidRPr="009B557D" w:rsidRDefault="00CF4494" w:rsidP="00CD6CCB">
      <w:pPr>
        <w:rPr>
          <w:i/>
        </w:rPr>
      </w:pPr>
      <w:r>
        <w:rPr>
          <w:i/>
        </w:rPr>
        <w:t>Proposed amendment for sales off the plan</w:t>
      </w:r>
    </w:p>
    <w:p w:rsidR="009062CE" w:rsidRPr="00E5747E" w:rsidRDefault="009062CE" w:rsidP="00CD6CCB"/>
    <w:p w:rsidR="009062CE" w:rsidRPr="009B557D" w:rsidRDefault="009062CE" w:rsidP="00CD6CCB">
      <w:r>
        <w:t xml:space="preserve">If the proposed amendment </w:t>
      </w:r>
      <w:r w:rsidR="00CF4494">
        <w:t>to sales off the plan is agreed to</w:t>
      </w:r>
      <w:r>
        <w:t xml:space="preserve"> (</w:t>
      </w:r>
      <w:r w:rsidRPr="009B557D">
        <w:rPr>
          <w:i/>
        </w:rPr>
        <w:t>Issue: Sales “off the plan</w:t>
      </w:r>
      <w:r w:rsidRPr="005669BA">
        <w:t>”</w:t>
      </w:r>
      <w:r>
        <w:t>), then the sale of the land from Peter and Paul will not be covered by the bright-line test</w:t>
      </w:r>
      <w:r w:rsidR="00F16E3E">
        <w:t>.  T</w:t>
      </w:r>
      <w:r>
        <w:t>his is because the start date of the bright-line test will instead be 1 May 2016 (the date Peter entered into a contract to purchase the title “off the plan”).</w:t>
      </w:r>
    </w:p>
    <w:p w:rsidR="009062CE" w:rsidRDefault="009062CE" w:rsidP="00CD6CCB">
      <w:pPr>
        <w:rPr>
          <w:b/>
          <w:i/>
        </w:rPr>
      </w:pPr>
    </w:p>
    <w:p w:rsidR="00E5747E" w:rsidRDefault="00E5747E">
      <w:pPr>
        <w:jc w:val="left"/>
        <w:rPr>
          <w:b/>
          <w:i/>
        </w:rPr>
      </w:pPr>
      <w:r>
        <w:rPr>
          <w:b/>
          <w:i/>
        </w:rPr>
        <w:br w:type="page"/>
      </w:r>
    </w:p>
    <w:p w:rsidR="00CD6CCB" w:rsidRPr="00CD6CCB" w:rsidRDefault="00CD6CCB" w:rsidP="00CD6CCB">
      <w:pPr>
        <w:rPr>
          <w:b/>
          <w:i/>
        </w:rPr>
      </w:pPr>
      <w:r w:rsidRPr="00CD6CCB">
        <w:rPr>
          <w:b/>
          <w:i/>
        </w:rPr>
        <w:t>Sale that is cancelled</w:t>
      </w:r>
    </w:p>
    <w:p w:rsidR="00CD6CCB" w:rsidRPr="00E5747E" w:rsidRDefault="00CD6CCB" w:rsidP="00CD6CCB"/>
    <w:p w:rsidR="00CD6CCB" w:rsidRDefault="00CD6CCB" w:rsidP="00CD6CCB">
      <w:r w:rsidRPr="00710064">
        <w:t xml:space="preserve">For sales that </w:t>
      </w:r>
      <w:r>
        <w:t>are cancelled, there will be no income tax to be paid under the bright-line test because there has been no income derived from the sale.</w:t>
      </w:r>
    </w:p>
    <w:p w:rsidR="00CD6CCB" w:rsidRPr="00710064" w:rsidRDefault="00CD6CCB" w:rsidP="00CD6CCB"/>
    <w:p w:rsidR="00CD6CCB" w:rsidRPr="005E2810" w:rsidRDefault="00CD6CCB" w:rsidP="00CD6CCB">
      <w:r w:rsidRPr="005E2810">
        <w:rPr>
          <w:noProof/>
          <w:lang w:val="en-NZ" w:eastAsia="en-NZ"/>
        </w:rPr>
        <mc:AlternateContent>
          <mc:Choice Requires="wpc">
            <w:drawing>
              <wp:inline distT="0" distB="0" distL="0" distR="0" wp14:anchorId="481CF2F1" wp14:editId="19A0EFEE">
                <wp:extent cx="5476875" cy="3038475"/>
                <wp:effectExtent l="0" t="0" r="28575" b="28575"/>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22" name="Straight Connector 22"/>
                        <wps:cNvCnPr/>
                        <wps:spPr>
                          <a:xfrm>
                            <a:off x="593714" y="159633"/>
                            <a:ext cx="4320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593714" y="163331"/>
                            <a:ext cx="0" cy="15130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2037389" y="159633"/>
                            <a:ext cx="0" cy="1513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3477389" y="171426"/>
                            <a:ext cx="0" cy="1513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TextBox 36"/>
                        <wps:cNvSpPr txBox="1"/>
                        <wps:spPr>
                          <a:xfrm>
                            <a:off x="0" y="398553"/>
                            <a:ext cx="1224000" cy="675640"/>
                          </a:xfrm>
                          <a:prstGeom prst="rect">
                            <a:avLst/>
                          </a:prstGeom>
                          <a:noFill/>
                        </wps:spPr>
                        <wps:txbx>
                          <w:txbxContent>
                            <w:p w:rsidR="00F45904" w:rsidRPr="001769B4" w:rsidRDefault="00F45904" w:rsidP="00CD6CCB">
                              <w:pPr>
                                <w:pStyle w:val="NormalWeb"/>
                                <w:spacing w:before="0" w:after="0"/>
                                <w:jc w:val="center"/>
                                <w:rPr>
                                  <w:rFonts w:ascii="Times New Roman" w:hAnsi="Times New Roman"/>
                                  <w:b/>
                                  <w:sz w:val="20"/>
                                  <w:lang w:val="en-NZ"/>
                                </w:rPr>
                              </w:pPr>
                              <w:r w:rsidRPr="001769B4">
                                <w:rPr>
                                  <w:rFonts w:ascii="Times New Roman" w:hAnsi="Times New Roman"/>
                                  <w:b/>
                                  <w:sz w:val="20"/>
                                  <w:lang w:val="en-NZ"/>
                                </w:rPr>
                                <w:t>1 May 2016</w:t>
                              </w:r>
                            </w:p>
                            <w:p w:rsidR="00F45904" w:rsidRPr="001769B4" w:rsidRDefault="00F45904" w:rsidP="00CD6CCB">
                              <w:pPr>
                                <w:pStyle w:val="NormalWeb"/>
                                <w:spacing w:before="0" w:after="0"/>
                                <w:jc w:val="center"/>
                                <w:rPr>
                                  <w:sz w:val="20"/>
                                </w:rPr>
                              </w:pPr>
                              <w:r>
                                <w:rPr>
                                  <w:rFonts w:ascii="Times New Roman" w:hAnsi="Times New Roman"/>
                                  <w:sz w:val="20"/>
                                  <w:lang w:val="en-NZ"/>
                                </w:rPr>
                                <w:t>Elizabeth obtains registered title to residential land.</w:t>
                              </w:r>
                            </w:p>
                          </w:txbxContent>
                        </wps:txbx>
                        <wps:bodyPr wrap="square" rtlCol="0">
                          <a:spAutoFit/>
                        </wps:bodyPr>
                      </wps:wsp>
                      <wps:wsp>
                        <wps:cNvPr id="27" name="TextBox 37"/>
                        <wps:cNvSpPr txBox="1"/>
                        <wps:spPr>
                          <a:xfrm>
                            <a:off x="1435724" y="351301"/>
                            <a:ext cx="1224000" cy="894120"/>
                          </a:xfrm>
                          <a:prstGeom prst="rect">
                            <a:avLst/>
                          </a:prstGeom>
                          <a:noFill/>
                        </wps:spPr>
                        <wps:txbx>
                          <w:txbxContent>
                            <w:p w:rsidR="00F45904" w:rsidRDefault="00F45904" w:rsidP="00CD6CCB">
                              <w:pPr>
                                <w:pStyle w:val="NormalWeb"/>
                                <w:spacing w:before="0" w:after="0"/>
                                <w:jc w:val="center"/>
                                <w:rPr>
                                  <w:rFonts w:ascii="Times New Roman" w:hAnsi="Times New Roman"/>
                                  <w:b/>
                                  <w:sz w:val="20"/>
                                  <w:lang w:val="en-NZ"/>
                                </w:rPr>
                              </w:pPr>
                              <w:r>
                                <w:rPr>
                                  <w:rFonts w:ascii="Times New Roman" w:hAnsi="Times New Roman"/>
                                  <w:b/>
                                  <w:sz w:val="20"/>
                                  <w:lang w:val="en-NZ"/>
                                </w:rPr>
                                <w:t>1 July 2017</w:t>
                              </w:r>
                            </w:p>
                            <w:p w:rsidR="00F45904" w:rsidRPr="00714F00" w:rsidRDefault="00F45904" w:rsidP="00CD6CCB">
                              <w:pPr>
                                <w:pStyle w:val="NormalWeb"/>
                                <w:spacing w:before="0" w:after="0"/>
                                <w:jc w:val="center"/>
                                <w:rPr>
                                  <w:rFonts w:ascii="Times New Roman" w:hAnsi="Times New Roman"/>
                                  <w:sz w:val="20"/>
                                  <w:lang w:val="en-NZ"/>
                                </w:rPr>
                              </w:pPr>
                              <w:r>
                                <w:rPr>
                                  <w:rFonts w:ascii="Times New Roman" w:hAnsi="Times New Roman"/>
                                  <w:sz w:val="20"/>
                                  <w:lang w:val="en-NZ"/>
                                </w:rPr>
                                <w:t>Elizabeth enters into an agreement to sell the land to Fred.</w:t>
                              </w:r>
                            </w:p>
                          </w:txbxContent>
                        </wps:txbx>
                        <wps:bodyPr wrap="square" rtlCol="0">
                          <a:noAutofit/>
                        </wps:bodyPr>
                      </wps:wsp>
                      <wps:wsp>
                        <wps:cNvPr id="28" name="TextBox 46"/>
                        <wps:cNvSpPr txBox="1"/>
                        <wps:spPr>
                          <a:xfrm>
                            <a:off x="2879714" y="389028"/>
                            <a:ext cx="1224000" cy="967740"/>
                          </a:xfrm>
                          <a:prstGeom prst="rect">
                            <a:avLst/>
                          </a:prstGeom>
                          <a:noFill/>
                        </wps:spPr>
                        <wps:txbx>
                          <w:txbxContent>
                            <w:p w:rsidR="00F45904" w:rsidRPr="001769B4" w:rsidRDefault="00F45904" w:rsidP="00CD6CCB">
                              <w:pPr>
                                <w:pStyle w:val="NormalWeb"/>
                                <w:spacing w:before="0" w:after="0"/>
                                <w:jc w:val="center"/>
                                <w:rPr>
                                  <w:rFonts w:ascii="Times New Roman" w:hAnsi="Times New Roman"/>
                                  <w:b/>
                                  <w:sz w:val="20"/>
                                  <w:lang w:val="en-NZ"/>
                                </w:rPr>
                              </w:pPr>
                              <w:r>
                                <w:rPr>
                                  <w:rFonts w:ascii="Times New Roman" w:hAnsi="Times New Roman"/>
                                  <w:b/>
                                  <w:sz w:val="20"/>
                                  <w:lang w:val="en-NZ"/>
                                </w:rPr>
                                <w:t>1 December 2017</w:t>
                              </w:r>
                            </w:p>
                            <w:p w:rsidR="00F45904" w:rsidRPr="001769B4" w:rsidRDefault="00F45904" w:rsidP="00CD6CCB">
                              <w:pPr>
                                <w:pStyle w:val="NormalWeb"/>
                                <w:spacing w:before="0" w:after="0"/>
                                <w:jc w:val="center"/>
                                <w:rPr>
                                  <w:rFonts w:ascii="Times New Roman" w:hAnsi="Times New Roman"/>
                                  <w:sz w:val="20"/>
                                  <w:lang w:val="en-NZ"/>
                                </w:rPr>
                              </w:pPr>
                              <w:r>
                                <w:rPr>
                                  <w:rFonts w:ascii="Times New Roman" w:hAnsi="Times New Roman"/>
                                  <w:sz w:val="20"/>
                                  <w:lang w:val="en-NZ"/>
                                </w:rPr>
                                <w:t>Fred is unable to obtain the funds to purchase the land and so the sale is cancelled.</w:t>
                              </w:r>
                            </w:p>
                          </w:txbxContent>
                        </wps:txbx>
                        <wps:bodyPr wrap="square" rtlCol="0">
                          <a:spAutoFit/>
                        </wps:bodyPr>
                      </wps:wsp>
                      <wps:wsp>
                        <wps:cNvPr id="30" name="Text Box 30"/>
                        <wps:cNvSpPr txBox="1"/>
                        <wps:spPr>
                          <a:xfrm>
                            <a:off x="46064" y="1448545"/>
                            <a:ext cx="5136539" cy="154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5904" w:rsidRDefault="00F45904" w:rsidP="00CD6CCB">
                              <w:r w:rsidRPr="005E2810">
                                <w:t>The sale of the land from Elizabeth to Fred falls within the two</w:t>
                              </w:r>
                              <w:r>
                                <w:t>-</w:t>
                              </w:r>
                              <w:r w:rsidRPr="005E2810">
                                <w:t>year period for the bright-line test</w:t>
                              </w:r>
                              <w:r>
                                <w:t>.  H</w:t>
                              </w:r>
                              <w:r w:rsidRPr="005E2810">
                                <w:t>owever, because the sale is cancelled, Elizabeth has not derived any income from the disposal of land and will not have any income tax liability.</w:t>
                              </w:r>
                            </w:p>
                            <w:p w:rsidR="00F45904" w:rsidRPr="005E2810" w:rsidRDefault="00F45904" w:rsidP="00CD6CCB"/>
                            <w:p w:rsidR="00F45904" w:rsidRPr="005E2810" w:rsidRDefault="00F45904" w:rsidP="00CD6CCB">
                              <w:r w:rsidRPr="005E2810">
                                <w:t>The sale of the land from Elizabeth to Georgina is not covered by the bright-line</w:t>
                              </w:r>
                              <w:r>
                                <w:t xml:space="preserve"> test</w:t>
                              </w:r>
                              <w:r w:rsidRPr="005E2810">
                                <w:t xml:space="preserve"> because the agreement for sale</w:t>
                              </w:r>
                              <w:r>
                                <w:t xml:space="preserve"> (1 July 2018)</w:t>
                              </w:r>
                              <w:r w:rsidRPr="005E2810">
                                <w:t xml:space="preserve"> was not entered into within two years of</w:t>
                              </w:r>
                              <w:r>
                                <w:t xml:space="preserve"> Elizabeth</w:t>
                              </w:r>
                              <w:r w:rsidRPr="005E2810">
                                <w:t xml:space="preserve"> obtaining registered title</w:t>
                              </w:r>
                              <w:r>
                                <w:t xml:space="preserve"> (1 May 2016)</w:t>
                              </w:r>
                              <w:r w:rsidRPr="005E2810">
                                <w:t>.</w:t>
                              </w:r>
                            </w:p>
                            <w:p w:rsidR="00F45904" w:rsidRPr="005E2810" w:rsidRDefault="00F45904" w:rsidP="00CD6C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Straight Connector 40"/>
                        <wps:cNvCnPr/>
                        <wps:spPr>
                          <a:xfrm>
                            <a:off x="4906929" y="169158"/>
                            <a:ext cx="0" cy="1511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TextBox 46"/>
                        <wps:cNvSpPr txBox="1"/>
                        <wps:spPr>
                          <a:xfrm>
                            <a:off x="4252875" y="379397"/>
                            <a:ext cx="1224000" cy="967740"/>
                          </a:xfrm>
                          <a:prstGeom prst="rect">
                            <a:avLst/>
                          </a:prstGeom>
                          <a:noFill/>
                        </wps:spPr>
                        <wps:txbx>
                          <w:txbxContent>
                            <w:p w:rsidR="00F45904" w:rsidRDefault="00F45904" w:rsidP="00CD6CCB">
                              <w:pPr>
                                <w:pStyle w:val="NormalWeb"/>
                                <w:spacing w:before="0" w:after="0"/>
                                <w:jc w:val="center"/>
                                <w:rPr>
                                  <w:rFonts w:ascii="Times New Roman" w:hAnsi="Times New Roman"/>
                                  <w:b/>
                                  <w:sz w:val="20"/>
                                  <w:lang w:val="en-NZ"/>
                                </w:rPr>
                              </w:pPr>
                              <w:r w:rsidRPr="003332BD">
                                <w:rPr>
                                  <w:rFonts w:ascii="Times New Roman" w:hAnsi="Times New Roman"/>
                                  <w:b/>
                                  <w:sz w:val="20"/>
                                  <w:lang w:val="en-NZ"/>
                                </w:rPr>
                                <w:t xml:space="preserve">1 </w:t>
                              </w:r>
                              <w:r>
                                <w:rPr>
                                  <w:rFonts w:ascii="Times New Roman" w:hAnsi="Times New Roman"/>
                                  <w:b/>
                                  <w:sz w:val="20"/>
                                  <w:lang w:val="en-NZ"/>
                                </w:rPr>
                                <w:t>July 2018</w:t>
                              </w:r>
                            </w:p>
                            <w:p w:rsidR="00F45904" w:rsidRPr="00EC6269" w:rsidRDefault="00F45904" w:rsidP="00CD6CCB">
                              <w:pPr>
                                <w:pStyle w:val="NormalWeb"/>
                                <w:spacing w:before="0" w:after="0"/>
                                <w:jc w:val="center"/>
                                <w:rPr>
                                  <w:rFonts w:ascii="Times New Roman" w:hAnsi="Times New Roman"/>
                                  <w:sz w:val="20"/>
                                  <w:lang w:val="en-NZ"/>
                                </w:rPr>
                              </w:pPr>
                              <w:r>
                                <w:rPr>
                                  <w:rFonts w:ascii="Times New Roman" w:hAnsi="Times New Roman"/>
                                  <w:sz w:val="20"/>
                                  <w:lang w:val="en-NZ"/>
                                </w:rPr>
                                <w:t xml:space="preserve">Elizabeth </w:t>
                              </w:r>
                              <w:r w:rsidRPr="00EC6269">
                                <w:rPr>
                                  <w:rFonts w:ascii="Times New Roman" w:hAnsi="Times New Roman"/>
                                  <w:sz w:val="20"/>
                                  <w:lang w:val="en-NZ"/>
                                </w:rPr>
                                <w:t xml:space="preserve">enters into an agreement to </w:t>
                              </w:r>
                              <w:r>
                                <w:rPr>
                                  <w:rFonts w:ascii="Times New Roman" w:hAnsi="Times New Roman"/>
                                  <w:sz w:val="20"/>
                                  <w:lang w:val="en-NZ"/>
                                </w:rPr>
                                <w:t>sell the land to Georgina.</w:t>
                              </w:r>
                            </w:p>
                          </w:txbxContent>
                        </wps:txbx>
                        <wps:bodyPr wrap="square" rtlCol="0">
                          <a:noAutofit/>
                        </wps:bodyPr>
                      </wps:wsp>
                    </wpc:wpc>
                  </a:graphicData>
                </a:graphic>
              </wp:inline>
            </w:drawing>
          </mc:Choice>
          <mc:Fallback>
            <w:pict>
              <v:group id="Canvas 32" o:spid="_x0000_s1058" editas="canvas" style="width:431.25pt;height:239.25pt;mso-position-horizontal-relative:char;mso-position-vertical-relative:line" coordsize="54768,30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">
                <v:shape id="_x0000_s1059" type="#_x0000_t75" style="position:absolute;width:54768;height:30384;visibility:visible;mso-wrap-style:square" stroked="t" strokecolor="black [3213]">
                  <v:fill o:detectmouseclick="t"/>
                  <v:path o:connecttype="none"/>
                </v:shape>
                <v:line id="Straight Connector 22" o:spid="_x0000_s1060" style="position:absolute;visibility:visible;mso-wrap-style:square" from="5937,1596" to="49137,1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l0acQAAADbAAAADwAAAGRycy9kb3ducmV2LnhtbESPQWvCQBSE74L/YXlCb3VjoEaiqwRB&#10;aOup2uL1kX0m0ezbsLuNaX+9Wyh4HGbmG2a1GUwrenK+saxgNk1AEJdWN1wp+DzunhcgfEDW2Fom&#10;BT/kYbMej1aYa3vjD+oPoRIRwj5HBXUIXS6lL2sy6Ke2I47e2TqDIUpXSe3wFuGmlWmSzKXBhuNC&#10;jR1tayqvh2+jYFG+X1yRFW+zl68u++3T/Xx3ypR6mgzFEkSgITzC/+1XrSBN4e9L/AF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uXRpxAAAANsAAAAPAAAAAAAAAAAA&#10;AAAAAKECAABkcnMvZG93bnJldi54bWxQSwUGAAAAAAQABAD5AAAAkgMAAAAA&#10;" strokecolor="black [3213]"/>
                <v:line id="Straight Connector 23" o:spid="_x0000_s1061" style="position:absolute;visibility:visible;mso-wrap-style:square" from="5937,1633" to="5937,3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R8sUAAADbAAAADwAAAGRycy9kb3ducmV2LnhtbESPQWvCQBSE7wX/w/KE3urGl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XR8sUAAADbAAAADwAAAAAAAAAA&#10;AAAAAAChAgAAZHJzL2Rvd25yZXYueG1sUEsFBgAAAAAEAAQA+QAAAJMDAAAAAA==&#10;" strokecolor="black [3213]"/>
                <v:line id="Straight Connector 24" o:spid="_x0000_s1062" style="position:absolute;visibility:visible;mso-wrap-style:square" from="20373,1596" to="20373,3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7IwsYAAADbAAAADwAAAGRycy9kb3ducmV2LnhtbESPQWvCQBSE70L/w/IKvUizMVptUlcp&#10;LYIXkaYe7O2RfU1Cs29Ddmviv3cFweMwM98wy/VgGnGiztWWFUyiGARxYXXNpYLD9+b5FYTzyBob&#10;y6TgTA7Wq4fREjNte/6iU+5LESDsMlRQed9mUrqiIoMusi1x8H5tZ9AH2ZVSd9gHuGlkEsdzabDm&#10;sFBhSx8VFX/5v1HweZj3eVq+LMaT6W5IeZ8cf3ZGqafH4f0NhKfB38O39lYrSGZw/RJ+gF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OyMLGAAAA2wAAAA8AAAAAAAAA&#10;AAAAAAAAoQIAAGRycy9kb3ducmV2LnhtbFBLBQYAAAAABAAEAPkAAACUAwAAAAA=&#10;" strokecolor="black [3213]" strokeweight="1pt"/>
                <v:line id="Straight Connector 25" o:spid="_x0000_s1063" style="position:absolute;visibility:visible;mso-wrap-style:square" from="34773,1714" to="34773,3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JtWcYAAADbAAAADwAAAGRycy9kb3ducmV2LnhtbESPQWvCQBSE74X+h+UVvIhujJg2qasU&#10;RehFStMc7O2RfU1Cs29DdjXx37sFocdhZr5h1tvRtOJCvWssK1jMIxDEpdUNVwqKr8PsBYTzyBpb&#10;y6TgSg62m8eHNWbaDvxJl9xXIkDYZaig9r7LpHRlTQbd3HbEwfuxvUEfZF9J3eMQ4KaVcRQl0mDD&#10;YaHGjnY1lb/52SjYF8mQp9XqebpYHseUP+LT99EoNXka315BeBr9f/jeftcK4hX8fQk/QG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CbVnGAAAA2wAAAA8AAAAAAAAA&#10;AAAAAAAAoQIAAGRycy9kb3ducmV2LnhtbFBLBQYAAAAABAAEAPkAAACUAwAAAAA=&#10;" strokecolor="black [3213]" strokeweight="1pt"/>
                <v:shape id="TextBox 36" o:spid="_x0000_s1064" type="#_x0000_t202" style="position:absolute;top:3985;width:12240;height:6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2B016D" w:rsidRPr="001769B4" w:rsidRDefault="002B016D" w:rsidP="00CD6CCB">
                        <w:pPr>
                          <w:pStyle w:val="NormalWeb"/>
                          <w:spacing w:before="0" w:after="0"/>
                          <w:jc w:val="center"/>
                          <w:rPr>
                            <w:rFonts w:ascii="Times New Roman" w:hAnsi="Times New Roman"/>
                            <w:b/>
                            <w:sz w:val="20"/>
                            <w:lang w:val="en-NZ"/>
                          </w:rPr>
                        </w:pPr>
                        <w:r w:rsidRPr="001769B4">
                          <w:rPr>
                            <w:rFonts w:ascii="Times New Roman" w:hAnsi="Times New Roman"/>
                            <w:b/>
                            <w:sz w:val="20"/>
                            <w:lang w:val="en-NZ"/>
                          </w:rPr>
                          <w:t>1 May 2016</w:t>
                        </w:r>
                      </w:p>
                      <w:p w:rsidR="002B016D" w:rsidRPr="001769B4" w:rsidRDefault="002B016D" w:rsidP="00CD6CCB">
                        <w:pPr>
                          <w:pStyle w:val="NormalWeb"/>
                          <w:spacing w:before="0" w:after="0"/>
                          <w:jc w:val="center"/>
                          <w:rPr>
                            <w:sz w:val="20"/>
                          </w:rPr>
                        </w:pPr>
                        <w:r>
                          <w:rPr>
                            <w:rFonts w:ascii="Times New Roman" w:hAnsi="Times New Roman"/>
                            <w:sz w:val="20"/>
                            <w:lang w:val="en-NZ"/>
                          </w:rPr>
                          <w:t>Elizabeth obtains registered title to residential land.</w:t>
                        </w:r>
                      </w:p>
                    </w:txbxContent>
                  </v:textbox>
                </v:shape>
                <v:shape id="TextBox 37" o:spid="_x0000_s1065" type="#_x0000_t202" style="position:absolute;left:14357;top:3513;width:12240;height:8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2B016D" w:rsidRDefault="002B016D" w:rsidP="00CD6CCB">
                        <w:pPr>
                          <w:pStyle w:val="NormalWeb"/>
                          <w:spacing w:before="0" w:after="0"/>
                          <w:jc w:val="center"/>
                          <w:rPr>
                            <w:rFonts w:ascii="Times New Roman" w:hAnsi="Times New Roman"/>
                            <w:b/>
                            <w:sz w:val="20"/>
                            <w:lang w:val="en-NZ"/>
                          </w:rPr>
                        </w:pPr>
                        <w:r>
                          <w:rPr>
                            <w:rFonts w:ascii="Times New Roman" w:hAnsi="Times New Roman"/>
                            <w:b/>
                            <w:sz w:val="20"/>
                            <w:lang w:val="en-NZ"/>
                          </w:rPr>
                          <w:t>1 July 2017</w:t>
                        </w:r>
                      </w:p>
                      <w:p w:rsidR="002B016D" w:rsidRPr="00714F00" w:rsidRDefault="002B016D" w:rsidP="00CD6CCB">
                        <w:pPr>
                          <w:pStyle w:val="NormalWeb"/>
                          <w:spacing w:before="0" w:after="0"/>
                          <w:jc w:val="center"/>
                          <w:rPr>
                            <w:rFonts w:ascii="Times New Roman" w:hAnsi="Times New Roman"/>
                            <w:sz w:val="20"/>
                            <w:lang w:val="en-NZ"/>
                          </w:rPr>
                        </w:pPr>
                        <w:r>
                          <w:rPr>
                            <w:rFonts w:ascii="Times New Roman" w:hAnsi="Times New Roman"/>
                            <w:sz w:val="20"/>
                            <w:lang w:val="en-NZ"/>
                          </w:rPr>
                          <w:t>Elizabeth enters into an agreement to sell the land to Fred.</w:t>
                        </w:r>
                      </w:p>
                    </w:txbxContent>
                  </v:textbox>
                </v:shape>
                <v:shape id="TextBox 46" o:spid="_x0000_s1066" type="#_x0000_t202" style="position:absolute;left:28797;top:3890;width:12240;height:9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2B016D" w:rsidRPr="001769B4" w:rsidRDefault="002B016D" w:rsidP="00CD6CCB">
                        <w:pPr>
                          <w:pStyle w:val="NormalWeb"/>
                          <w:spacing w:before="0" w:after="0"/>
                          <w:jc w:val="center"/>
                          <w:rPr>
                            <w:rFonts w:ascii="Times New Roman" w:hAnsi="Times New Roman"/>
                            <w:b/>
                            <w:sz w:val="20"/>
                            <w:lang w:val="en-NZ"/>
                          </w:rPr>
                        </w:pPr>
                        <w:r>
                          <w:rPr>
                            <w:rFonts w:ascii="Times New Roman" w:hAnsi="Times New Roman"/>
                            <w:b/>
                            <w:sz w:val="20"/>
                            <w:lang w:val="en-NZ"/>
                          </w:rPr>
                          <w:t>1 December 2017</w:t>
                        </w:r>
                      </w:p>
                      <w:p w:rsidR="002B016D" w:rsidRPr="001769B4" w:rsidRDefault="002B016D" w:rsidP="00CD6CCB">
                        <w:pPr>
                          <w:pStyle w:val="NormalWeb"/>
                          <w:spacing w:before="0" w:after="0"/>
                          <w:jc w:val="center"/>
                          <w:rPr>
                            <w:rFonts w:ascii="Times New Roman" w:hAnsi="Times New Roman"/>
                            <w:sz w:val="20"/>
                            <w:lang w:val="en-NZ"/>
                          </w:rPr>
                        </w:pPr>
                        <w:r>
                          <w:rPr>
                            <w:rFonts w:ascii="Times New Roman" w:hAnsi="Times New Roman"/>
                            <w:sz w:val="20"/>
                            <w:lang w:val="en-NZ"/>
                          </w:rPr>
                          <w:t>Fred is unable to obtain the funds to purchase the land and so the sale is cancelled.</w:t>
                        </w:r>
                      </w:p>
                    </w:txbxContent>
                  </v:textbox>
                </v:shape>
                <v:shape id="Text Box 30" o:spid="_x0000_s1067" type="#_x0000_t202" style="position:absolute;left:460;top:14485;width:51366;height:15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buMIA&#10;AADbAAAADwAAAGRycy9kb3ducmV2LnhtbERPy2rCQBTdC/7DcAtupE40qCV1FCn1QXc1fdDdJXOb&#10;BDN3QmZM4t87C8Hl4bxXm95UoqXGlZYVTCcRCOLM6pJzBV/p7vkFhPPIGivLpOBKDjbr4WCFibYd&#10;f1J78rkIIewSVFB4XydSuqwgg25ia+LA/dvGoA+wyaVusAvhppKzKFpIgyWHhgJreisoO58uRsHf&#10;OP/9cP3+u4vncf1+aNPlj06VGj3121cQnnr/EN/dR60gDuvDl/A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Vhu4wgAAANsAAAAPAAAAAAAAAAAAAAAAAJgCAABkcnMvZG93&#10;bnJldi54bWxQSwUGAAAAAAQABAD1AAAAhwMAAAAA&#10;" fillcolor="white [3201]" stroked="f" strokeweight=".5pt">
                  <v:textbox>
                    <w:txbxContent>
                      <w:p w:rsidR="002B016D" w:rsidRDefault="002B016D" w:rsidP="00CD6CCB">
                        <w:r w:rsidRPr="005E2810">
                          <w:t>The sale of the land from Elizabeth to Fred falls within the two</w:t>
                        </w:r>
                        <w:r>
                          <w:t>-</w:t>
                        </w:r>
                        <w:r w:rsidRPr="005E2810">
                          <w:t>year period for the bright-line test</w:t>
                        </w:r>
                        <w:r>
                          <w:t>.  H</w:t>
                        </w:r>
                        <w:r w:rsidRPr="005E2810">
                          <w:t>owever, because the sale is cancelled, Elizabeth has not derived any income from the disposal of land and will not have any income tax liability.</w:t>
                        </w:r>
                      </w:p>
                      <w:p w:rsidR="002B016D" w:rsidRPr="005E2810" w:rsidRDefault="002B016D" w:rsidP="00CD6CCB"/>
                      <w:p w:rsidR="002B016D" w:rsidRPr="005E2810" w:rsidRDefault="002B016D" w:rsidP="00CD6CCB">
                        <w:r w:rsidRPr="005E2810">
                          <w:t>The sale of the land from Elizabeth to Georgina is not covered by the bright-line</w:t>
                        </w:r>
                        <w:r>
                          <w:t xml:space="preserve"> test</w:t>
                        </w:r>
                        <w:r w:rsidRPr="005E2810">
                          <w:t xml:space="preserve"> because the agreement for sale</w:t>
                        </w:r>
                        <w:r>
                          <w:t xml:space="preserve"> (1 July 2018)</w:t>
                        </w:r>
                        <w:r w:rsidRPr="005E2810">
                          <w:t xml:space="preserve"> was not entered into within two years of</w:t>
                        </w:r>
                        <w:r>
                          <w:t xml:space="preserve"> Elizabeth</w:t>
                        </w:r>
                        <w:r w:rsidRPr="005E2810">
                          <w:t xml:space="preserve"> obtaining registered title</w:t>
                        </w:r>
                        <w:r>
                          <w:t xml:space="preserve"> (1 May 2016)</w:t>
                        </w:r>
                        <w:r w:rsidRPr="005E2810">
                          <w:t>.</w:t>
                        </w:r>
                      </w:p>
                      <w:p w:rsidR="002B016D" w:rsidRPr="005E2810" w:rsidRDefault="002B016D" w:rsidP="00CD6CCB"/>
                    </w:txbxContent>
                  </v:textbox>
                </v:shape>
                <v:line id="Straight Connector 40" o:spid="_x0000_s1068" style="position:absolute;visibility:visible;mso-wrap-style:square" from="49069,1691" to="49069,3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orYcIAAADbAAAADwAAAGRycy9kb3ducmV2LnhtbERPTYvCMBC9C/6HMIIX0VR3dbUaRVwE&#10;LyJ2PezehmZsi82kNNHWf28OCx4f73u1aU0pHlS7wrKC8SgCQZxaXXCm4PKzH85BOI+ssbRMCp7k&#10;YLPudlYYa9vwmR6Jz0QIYRejgtz7KpbSpTkZdCNbEQfuamuDPsA6k7rGJoSbUk6iaCYNFhwacqxo&#10;l1N6S+5Gwfdl1iSLbPo1GH8c2wWfJr9/R6NUv9dulyA8tf4t/ncftILPsD58CT9Ar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orYcIAAADbAAAADwAAAAAAAAAAAAAA&#10;AAChAgAAZHJzL2Rvd25yZXYueG1sUEsFBgAAAAAEAAQA+QAAAJADAAAAAA==&#10;" strokecolor="black [3213]" strokeweight="1pt"/>
                <v:shape id="TextBox 46" o:spid="_x0000_s1069" type="#_x0000_t202" style="position:absolute;left:42528;top:3793;width:12240;height:9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2B016D" w:rsidRDefault="002B016D" w:rsidP="00CD6CCB">
                        <w:pPr>
                          <w:pStyle w:val="NormalWeb"/>
                          <w:spacing w:before="0" w:after="0"/>
                          <w:jc w:val="center"/>
                          <w:rPr>
                            <w:rFonts w:ascii="Times New Roman" w:hAnsi="Times New Roman"/>
                            <w:b/>
                            <w:sz w:val="20"/>
                            <w:lang w:val="en-NZ"/>
                          </w:rPr>
                        </w:pPr>
                        <w:r w:rsidRPr="003332BD">
                          <w:rPr>
                            <w:rFonts w:ascii="Times New Roman" w:hAnsi="Times New Roman"/>
                            <w:b/>
                            <w:sz w:val="20"/>
                            <w:lang w:val="en-NZ"/>
                          </w:rPr>
                          <w:t xml:space="preserve">1 </w:t>
                        </w:r>
                        <w:r>
                          <w:rPr>
                            <w:rFonts w:ascii="Times New Roman" w:hAnsi="Times New Roman"/>
                            <w:b/>
                            <w:sz w:val="20"/>
                            <w:lang w:val="en-NZ"/>
                          </w:rPr>
                          <w:t>July 2018</w:t>
                        </w:r>
                      </w:p>
                      <w:p w:rsidR="002B016D" w:rsidRPr="00EC6269" w:rsidRDefault="002B016D" w:rsidP="00CD6CCB">
                        <w:pPr>
                          <w:pStyle w:val="NormalWeb"/>
                          <w:spacing w:before="0" w:after="0"/>
                          <w:jc w:val="center"/>
                          <w:rPr>
                            <w:rFonts w:ascii="Times New Roman" w:hAnsi="Times New Roman"/>
                            <w:sz w:val="20"/>
                            <w:lang w:val="en-NZ"/>
                          </w:rPr>
                        </w:pPr>
                        <w:r>
                          <w:rPr>
                            <w:rFonts w:ascii="Times New Roman" w:hAnsi="Times New Roman"/>
                            <w:sz w:val="20"/>
                            <w:lang w:val="en-NZ"/>
                          </w:rPr>
                          <w:t xml:space="preserve">Elizabeth </w:t>
                        </w:r>
                        <w:r w:rsidRPr="00EC6269">
                          <w:rPr>
                            <w:rFonts w:ascii="Times New Roman" w:hAnsi="Times New Roman"/>
                            <w:sz w:val="20"/>
                            <w:lang w:val="en-NZ"/>
                          </w:rPr>
                          <w:t xml:space="preserve">enters into an agreement to </w:t>
                        </w:r>
                        <w:r>
                          <w:rPr>
                            <w:rFonts w:ascii="Times New Roman" w:hAnsi="Times New Roman"/>
                            <w:sz w:val="20"/>
                            <w:lang w:val="en-NZ"/>
                          </w:rPr>
                          <w:t>sell the land to Georgina.</w:t>
                        </w:r>
                      </w:p>
                    </w:txbxContent>
                  </v:textbox>
                </v:shape>
                <w10:anchorlock/>
              </v:group>
            </w:pict>
          </mc:Fallback>
        </mc:AlternateContent>
      </w:r>
    </w:p>
    <w:p w:rsidR="00CD6CCB" w:rsidRPr="00E5747E" w:rsidRDefault="00CD6CCB" w:rsidP="00CD6CCB"/>
    <w:p w:rsidR="00CD6CCB" w:rsidRPr="00CD6CCB" w:rsidRDefault="00CD6CCB" w:rsidP="00CD6CCB">
      <w:pPr>
        <w:rPr>
          <w:b/>
          <w:i/>
        </w:rPr>
      </w:pPr>
      <w:r w:rsidRPr="00CD6CCB">
        <w:rPr>
          <w:b/>
          <w:i/>
        </w:rPr>
        <w:t>Disposal of land that does not involve a contract to sell</w:t>
      </w:r>
    </w:p>
    <w:p w:rsidR="00CD6CCB" w:rsidRPr="00E5747E" w:rsidRDefault="00CD6CCB" w:rsidP="00CD6CCB"/>
    <w:p w:rsidR="00CD6CCB" w:rsidRDefault="00CD6CCB" w:rsidP="00CD6CCB">
      <w:r w:rsidRPr="005E2810">
        <w:t>There are several situations when land is disposed of and there is no agreement to dispose of the property</w:t>
      </w:r>
      <w:r w:rsidR="00B351A1">
        <w:t xml:space="preserve"> by the owner</w:t>
      </w:r>
      <w:r w:rsidRPr="005E2810">
        <w:t xml:space="preserve"> (for example</w:t>
      </w:r>
      <w:r w:rsidR="00AC3AC5">
        <w:t>,</w:t>
      </w:r>
      <w:r w:rsidRPr="005E2810">
        <w:t xml:space="preserve"> a </w:t>
      </w:r>
      <w:r w:rsidR="00B351A1">
        <w:t>mortgagee sale</w:t>
      </w:r>
      <w:r w:rsidRPr="005E2810">
        <w:t>)</w:t>
      </w:r>
      <w:r w:rsidR="00F16E3E">
        <w:t>.  I</w:t>
      </w:r>
      <w:r w:rsidRPr="005E2810">
        <w:t>n these situations, the proposed end date for the bright-line period differs from the standard rule.</w:t>
      </w:r>
    </w:p>
    <w:p w:rsidR="00CD6CCB" w:rsidRDefault="00CD6CCB" w:rsidP="00CD6CCB"/>
    <w:p w:rsidR="00CD6CCB" w:rsidRPr="00907A81" w:rsidRDefault="00CD6CCB" w:rsidP="00CD6CCB">
      <w:pPr>
        <w:rPr>
          <w:i/>
        </w:rPr>
      </w:pPr>
      <w:r w:rsidRPr="005E2810">
        <w:t xml:space="preserve">For </w:t>
      </w:r>
      <w:r w:rsidR="00B351A1">
        <w:t>mortgagee sales</w:t>
      </w:r>
      <w:r w:rsidRPr="005E2810">
        <w:t xml:space="preserve">, the proposed end date for the bright-line period is the date that </w:t>
      </w:r>
      <w:r w:rsidR="00907A81">
        <w:t xml:space="preserve">the </w:t>
      </w:r>
      <w:r w:rsidR="00B351A1">
        <w:t>land is disposed of by the mortgagee.</w:t>
      </w:r>
    </w:p>
    <w:p w:rsidR="00CD6CCB" w:rsidRPr="005E2810" w:rsidRDefault="00CD6CCB" w:rsidP="00CD6CCB"/>
    <w:p w:rsidR="00CD6CCB" w:rsidRPr="005E2810" w:rsidRDefault="00CD6CCB" w:rsidP="00CD6CCB">
      <w:r w:rsidRPr="005E2810">
        <w:rPr>
          <w:noProof/>
          <w:lang w:val="en-NZ" w:eastAsia="en-NZ"/>
        </w:rPr>
        <mc:AlternateContent>
          <mc:Choice Requires="wpc">
            <w:drawing>
              <wp:inline distT="0" distB="0" distL="0" distR="0" wp14:anchorId="4E2131E9" wp14:editId="6A84972D">
                <wp:extent cx="5273749" cy="2743200"/>
                <wp:effectExtent l="0" t="0" r="22225" b="19050"/>
                <wp:docPr id="51" name="Canvas 5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34" name="Straight Connector 34"/>
                        <wps:cNvCnPr/>
                        <wps:spPr>
                          <a:xfrm>
                            <a:off x="875446" y="245549"/>
                            <a:ext cx="3553679" cy="58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875446" y="245549"/>
                            <a:ext cx="0" cy="15130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2601380" y="245384"/>
                            <a:ext cx="0" cy="1513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4429125" y="251376"/>
                            <a:ext cx="0" cy="1513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TextBox 36"/>
                        <wps:cNvSpPr txBox="1"/>
                        <wps:spPr>
                          <a:xfrm>
                            <a:off x="0" y="480820"/>
                            <a:ext cx="1795780" cy="1015471"/>
                          </a:xfrm>
                          <a:prstGeom prst="rect">
                            <a:avLst/>
                          </a:prstGeom>
                          <a:noFill/>
                        </wps:spPr>
                        <wps:txbx>
                          <w:txbxContent>
                            <w:p w:rsidR="00F45904" w:rsidRDefault="00F45904" w:rsidP="00CD6CCB">
                              <w:pPr>
                                <w:pStyle w:val="NormalWeb"/>
                                <w:spacing w:before="0" w:after="0"/>
                                <w:jc w:val="center"/>
                                <w:rPr>
                                  <w:rFonts w:ascii="Times New Roman" w:hAnsi="Times New Roman"/>
                                  <w:b/>
                                  <w:sz w:val="20"/>
                                  <w:lang w:val="en-NZ"/>
                                </w:rPr>
                              </w:pPr>
                              <w:r>
                                <w:rPr>
                                  <w:rFonts w:ascii="Times New Roman" w:hAnsi="Times New Roman"/>
                                  <w:b/>
                                  <w:sz w:val="20"/>
                                  <w:lang w:val="en-NZ"/>
                                </w:rPr>
                                <w:t>1 May 2016</w:t>
                              </w:r>
                            </w:p>
                            <w:p w:rsidR="00F45904" w:rsidRPr="006907EB" w:rsidRDefault="00F45904" w:rsidP="00CD6CCB">
                              <w:pPr>
                                <w:pStyle w:val="NormalWeb"/>
                                <w:spacing w:before="0" w:after="0"/>
                                <w:jc w:val="center"/>
                                <w:rPr>
                                  <w:rFonts w:ascii="Times New Roman" w:hAnsi="Times New Roman"/>
                                  <w:sz w:val="20"/>
                                  <w:lang w:val="en-NZ"/>
                                </w:rPr>
                              </w:pPr>
                              <w:r>
                                <w:rPr>
                                  <w:rFonts w:ascii="Times New Roman" w:hAnsi="Times New Roman"/>
                                  <w:sz w:val="20"/>
                                  <w:lang w:val="en-NZ"/>
                                </w:rPr>
                                <w:t>Henrietta obtains registered title to residential land (purchase price of $400k). Henrietta mortgages the property to the bank.</w:t>
                              </w:r>
                            </w:p>
                          </w:txbxContent>
                        </wps:txbx>
                        <wps:bodyPr wrap="square" rtlCol="0">
                          <a:noAutofit/>
                        </wps:bodyPr>
                      </wps:wsp>
                      <wps:wsp>
                        <wps:cNvPr id="45" name="TextBox 37"/>
                        <wps:cNvSpPr txBox="1"/>
                        <wps:spPr>
                          <a:xfrm>
                            <a:off x="1709611" y="457095"/>
                            <a:ext cx="1798955" cy="894120"/>
                          </a:xfrm>
                          <a:prstGeom prst="rect">
                            <a:avLst/>
                          </a:prstGeom>
                          <a:noFill/>
                        </wps:spPr>
                        <wps:txbx>
                          <w:txbxContent>
                            <w:p w:rsidR="00F45904" w:rsidRPr="001769B4" w:rsidRDefault="00F45904" w:rsidP="00CD6CCB">
                              <w:pPr>
                                <w:pStyle w:val="NormalWeb"/>
                                <w:spacing w:before="0" w:after="0"/>
                                <w:jc w:val="center"/>
                                <w:rPr>
                                  <w:rFonts w:ascii="Times New Roman" w:hAnsi="Times New Roman"/>
                                  <w:b/>
                                  <w:sz w:val="20"/>
                                  <w:lang w:val="en-NZ"/>
                                </w:rPr>
                              </w:pPr>
                              <w:r>
                                <w:rPr>
                                  <w:rFonts w:ascii="Times New Roman" w:hAnsi="Times New Roman"/>
                                  <w:b/>
                                  <w:sz w:val="20"/>
                                  <w:lang w:val="en-NZ"/>
                                </w:rPr>
                                <w:t>1 December 2017</w:t>
                              </w:r>
                            </w:p>
                            <w:p w:rsidR="00F45904" w:rsidRPr="001769B4" w:rsidRDefault="00F45904" w:rsidP="00CD6CCB">
                              <w:pPr>
                                <w:pStyle w:val="NormalWeb"/>
                                <w:spacing w:before="0" w:after="0"/>
                                <w:jc w:val="center"/>
                                <w:rPr>
                                  <w:rFonts w:ascii="Times New Roman" w:hAnsi="Times New Roman"/>
                                  <w:sz w:val="20"/>
                                  <w:lang w:val="en-NZ"/>
                                </w:rPr>
                              </w:pPr>
                              <w:r>
                                <w:rPr>
                                  <w:rFonts w:ascii="Times New Roman" w:hAnsi="Times New Roman"/>
                                  <w:sz w:val="20"/>
                                  <w:lang w:val="en-NZ"/>
                                </w:rPr>
                                <w:t>Henrietta defaults on the mortgage and the bank begins a mortgagee sale.</w:t>
                              </w:r>
                            </w:p>
                          </w:txbxContent>
                        </wps:txbx>
                        <wps:bodyPr wrap="square" rtlCol="0">
                          <a:noAutofit/>
                        </wps:bodyPr>
                      </wps:wsp>
                      <wps:wsp>
                        <wps:cNvPr id="49" name="TextBox 46"/>
                        <wps:cNvSpPr txBox="1"/>
                        <wps:spPr>
                          <a:xfrm>
                            <a:off x="3475991" y="501415"/>
                            <a:ext cx="1800225" cy="675640"/>
                          </a:xfrm>
                          <a:prstGeom prst="rect">
                            <a:avLst/>
                          </a:prstGeom>
                          <a:noFill/>
                        </wps:spPr>
                        <wps:txbx>
                          <w:txbxContent>
                            <w:p w:rsidR="00F45904" w:rsidRPr="001769B4" w:rsidRDefault="00F45904" w:rsidP="00CD6CCB">
                              <w:pPr>
                                <w:pStyle w:val="NormalWeb"/>
                                <w:spacing w:before="0" w:after="0"/>
                                <w:jc w:val="center"/>
                                <w:rPr>
                                  <w:rFonts w:ascii="Times New Roman" w:hAnsi="Times New Roman"/>
                                  <w:b/>
                                  <w:sz w:val="20"/>
                                  <w:lang w:val="en-NZ"/>
                                </w:rPr>
                              </w:pPr>
                              <w:r>
                                <w:rPr>
                                  <w:rFonts w:ascii="Times New Roman" w:hAnsi="Times New Roman"/>
                                  <w:b/>
                                  <w:sz w:val="20"/>
                                  <w:lang w:val="en-NZ"/>
                                </w:rPr>
                                <w:t>1 February 2018</w:t>
                              </w:r>
                            </w:p>
                            <w:p w:rsidR="00F45904" w:rsidRPr="001769B4" w:rsidRDefault="00F45904" w:rsidP="00CD6CCB">
                              <w:pPr>
                                <w:pStyle w:val="NormalWeb"/>
                                <w:spacing w:before="0" w:after="0"/>
                                <w:jc w:val="center"/>
                                <w:rPr>
                                  <w:rFonts w:ascii="Times New Roman" w:hAnsi="Times New Roman"/>
                                  <w:sz w:val="20"/>
                                  <w:lang w:val="en-NZ"/>
                                </w:rPr>
                              </w:pPr>
                              <w:r>
                                <w:rPr>
                                  <w:rFonts w:ascii="Times New Roman" w:hAnsi="Times New Roman"/>
                                  <w:sz w:val="20"/>
                                  <w:lang w:val="en-NZ"/>
                                </w:rPr>
                                <w:t>Bank sells property for $450k and transfers registered title to purchaser.</w:t>
                              </w:r>
                            </w:p>
                          </w:txbxContent>
                        </wps:txbx>
                        <wps:bodyPr wrap="square" rtlCol="0">
                          <a:spAutoFit/>
                        </wps:bodyPr>
                      </wps:wsp>
                      <wps:wsp>
                        <wps:cNvPr id="50" name="Text Box 50"/>
                        <wps:cNvSpPr txBox="1"/>
                        <wps:spPr>
                          <a:xfrm>
                            <a:off x="54815" y="1504400"/>
                            <a:ext cx="5136539" cy="11537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5904" w:rsidRDefault="00F45904" w:rsidP="00CD6CCB">
                              <w:r>
                                <w:t xml:space="preserve">The start date for the bright-line period is 1 May 2016 (date Henrietta acquired registered title) and the end date is 1 February 2018 (date </w:t>
                              </w:r>
                              <w:r w:rsidR="00F831BC">
                                <w:t>land disposed of by mortgagee).</w:t>
                              </w:r>
                            </w:p>
                            <w:p w:rsidR="00F45904" w:rsidRDefault="00F45904" w:rsidP="00CD6CCB"/>
                            <w:p w:rsidR="00F45904" w:rsidRDefault="00F45904" w:rsidP="00CD6CCB">
                              <w:r>
                                <w:t>The sale is covered by the bright-line test and Henrietta will have income of $50k un</w:t>
                              </w:r>
                              <w:r w:rsidR="00F831BC">
                                <w:t>der the bright-line test.</w:t>
                              </w:r>
                            </w:p>
                            <w:p w:rsidR="00F45904" w:rsidRPr="005E2810" w:rsidRDefault="00F45904" w:rsidP="00CD6CCB"/>
                            <w:p w:rsidR="00F45904" w:rsidRPr="005E2810" w:rsidRDefault="00F45904" w:rsidP="00CD6C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51" o:spid="_x0000_s1070" editas="canvas" style="width:415.25pt;height:3in;mso-position-horizontal-relative:char;mso-position-vertical-relative:line" coordsize="52736,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">
                <v:shape id="_x0000_s1071" type="#_x0000_t75" style="position:absolute;width:52736;height:27432;visibility:visible;mso-wrap-style:square" stroked="t" strokecolor="black [3213]">
                  <v:fill o:detectmouseclick="t"/>
                  <v:path o:connecttype="none"/>
                </v:shape>
                <v:line id="Straight Connector 34" o:spid="_x0000_s1072" style="position:absolute;visibility:visible;mso-wrap-style:square" from="8754,2455" to="44291,2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fW8UAAADbAAAADwAAAGRycy9kb3ducmV2LnhtbESPQWvCQBSE7wX/w/KE3upG2xqJrhIE&#10;obUnreL1kX0m0ezbsLuNaX+9Wyj0OMzMN8xi1ZtGdOR8bVnBeJSAIC6srrlUcPjcPM1A+ICssbFM&#10;Cr7Jw2o5eFhgpu2Nd9TtQykihH2GCqoQ2kxKX1Rk0I9sSxy9s3UGQ5SulNrhLcJNIydJMpUGa44L&#10;Fba0rqi47r+Mglmxvbg8zd/Hr8c2/ekmH9PNKVXqcdjncxCB+vAf/mu/aQXPL/D7Jf4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XfW8UAAADbAAAADwAAAAAAAAAA&#10;AAAAAAChAgAAZHJzL2Rvd25yZXYueG1sUEsFBgAAAAAEAAQA+QAAAJMDAAAAAA==&#10;" strokecolor="black [3213]"/>
                <v:line id="Straight Connector 35" o:spid="_x0000_s1073" style="position:absolute;visibility:visible;mso-wrap-style:square" from="8754,2455" to="8754,3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l6wMUAAADbAAAADwAAAGRycy9kb3ducmV2LnhtbESPQWvCQBSE7wX/w/KE3upGRSPRVYIg&#10;2PZUW/H6yD6TtNm3YXeNqb/eLRQ8DjPzDbPa9KYRHTlfW1YwHiUgiAuray4VfH3uXhYgfEDW2Fgm&#10;Bb/kYbMePK0w0/bKH9QdQikihH2GCqoQ2kxKX1Rk0I9sSxy9s3UGQ5SulNrhNcJNIydJMpcGa44L&#10;Fba0raj4OVyMgkXx9u3yNH8dz45teusm7/PdKVXqedjnSxCB+vAI/7f3WsF0B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l6wMUAAADbAAAADwAAAAAAAAAA&#10;AAAAAAChAgAAZHJzL2Rvd25yZXYueG1sUEsFBgAAAAAEAAQA+QAAAJMDAAAAAA==&#10;" strokecolor="black [3213]"/>
                <v:line id="Straight Connector 36" o:spid="_x0000_s1074" style="position:absolute;visibility:visible;mso-wrap-style:square" from="26013,2453" to="26013,3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ll88YAAADbAAAADwAAAGRycy9kb3ducmV2LnhtbESPQWvCQBSE70L/w/IKXopuVExrmo0U&#10;i9CLiGkO9vbIviah2bchuzXx33eFgsdhZr5h0u1oWnGh3jWWFSzmEQji0uqGKwXF5372AsJ5ZI2t&#10;ZVJwJQfb7GGSYqLtwCe65L4SAcIuQQW1910ipStrMujmtiMO3rftDfog+0rqHocAN61cRlEsDTYc&#10;FmrsaFdT+ZP/GgXvRTzkm2r9/LRYHcYNH5fnr4NRavo4vr2C8DT6e/i//aEVrGK4fQk/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JZfPGAAAA2wAAAA8AAAAAAAAA&#10;AAAAAAAAoQIAAGRycy9kb3ducmV2LnhtbFBLBQYAAAAABAAEAPkAAACUAwAAAAA=&#10;" strokecolor="black [3213]" strokeweight="1pt"/>
                <v:line id="Straight Connector 38" o:spid="_x0000_s1075" style="position:absolute;visibility:visible;mso-wrap-style:square" from="44291,2513" to="44291,4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pUGsEAAADbAAAADwAAAGRycy9kb3ducmV2LnhtbERPTYvCMBC9C/6HMIKXZU1V1l2rUUQR&#10;vIhYPay3oRnbYjMpTbT135uD4PHxvufL1pTiQbUrLCsYDiIQxKnVBWcKzqft9x8I55E1lpZJwZMc&#10;LBfdzhxjbRs+0iPxmQgh7GJUkHtfxVK6NCeDbmAr4sBdbW3QB1hnUtfYhHBTylEUTaTBgkNDjhWt&#10;c0pvyd0o2JwnTTLNfn6/huN9O+XD6P+yN0r1e+1qBsJT6z/it3unFYzD2PAl/AC5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GlQawQAAANsAAAAPAAAAAAAAAAAAAAAA&#10;AKECAABkcnMvZG93bnJldi54bWxQSwUGAAAAAAQABAD5AAAAjwMAAAAA&#10;" strokecolor="black [3213]" strokeweight="1pt"/>
                <v:shape id="TextBox 36" o:spid="_x0000_s1076" type="#_x0000_t202" style="position:absolute;top:4808;width:17957;height:10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F45904" w:rsidRDefault="00F45904" w:rsidP="00CD6CCB">
                        <w:pPr>
                          <w:pStyle w:val="NormalWeb"/>
                          <w:spacing w:before="0" w:after="0"/>
                          <w:jc w:val="center"/>
                          <w:rPr>
                            <w:rFonts w:ascii="Times New Roman" w:hAnsi="Times New Roman"/>
                            <w:b/>
                            <w:sz w:val="20"/>
                            <w:lang w:val="en-NZ"/>
                          </w:rPr>
                        </w:pPr>
                        <w:r>
                          <w:rPr>
                            <w:rFonts w:ascii="Times New Roman" w:hAnsi="Times New Roman"/>
                            <w:b/>
                            <w:sz w:val="20"/>
                            <w:lang w:val="en-NZ"/>
                          </w:rPr>
                          <w:t>1 May 2016</w:t>
                        </w:r>
                      </w:p>
                      <w:p w:rsidR="00F45904" w:rsidRPr="006907EB" w:rsidRDefault="00F45904" w:rsidP="00CD6CCB">
                        <w:pPr>
                          <w:pStyle w:val="NormalWeb"/>
                          <w:spacing w:before="0" w:after="0"/>
                          <w:jc w:val="center"/>
                          <w:rPr>
                            <w:rFonts w:ascii="Times New Roman" w:hAnsi="Times New Roman"/>
                            <w:sz w:val="20"/>
                            <w:lang w:val="en-NZ"/>
                          </w:rPr>
                        </w:pPr>
                        <w:r>
                          <w:rPr>
                            <w:rFonts w:ascii="Times New Roman" w:hAnsi="Times New Roman"/>
                            <w:sz w:val="20"/>
                            <w:lang w:val="en-NZ"/>
                          </w:rPr>
                          <w:t>Henrietta obtains registered title to residential land (purchase price of $400k). Henrietta mortgages the property to the bank.</w:t>
                        </w:r>
                      </w:p>
                    </w:txbxContent>
                  </v:textbox>
                </v:shape>
                <v:shape id="TextBox 37" o:spid="_x0000_s1077" type="#_x0000_t202" style="position:absolute;left:17096;top:4570;width:17989;height:8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F45904" w:rsidRPr="001769B4" w:rsidRDefault="00F45904" w:rsidP="00CD6CCB">
                        <w:pPr>
                          <w:pStyle w:val="NormalWeb"/>
                          <w:spacing w:before="0" w:after="0"/>
                          <w:jc w:val="center"/>
                          <w:rPr>
                            <w:rFonts w:ascii="Times New Roman" w:hAnsi="Times New Roman"/>
                            <w:b/>
                            <w:sz w:val="20"/>
                            <w:lang w:val="en-NZ"/>
                          </w:rPr>
                        </w:pPr>
                        <w:r>
                          <w:rPr>
                            <w:rFonts w:ascii="Times New Roman" w:hAnsi="Times New Roman"/>
                            <w:b/>
                            <w:sz w:val="20"/>
                            <w:lang w:val="en-NZ"/>
                          </w:rPr>
                          <w:t>1 December 2017</w:t>
                        </w:r>
                      </w:p>
                      <w:p w:rsidR="00F45904" w:rsidRPr="001769B4" w:rsidRDefault="00F45904" w:rsidP="00CD6CCB">
                        <w:pPr>
                          <w:pStyle w:val="NormalWeb"/>
                          <w:spacing w:before="0" w:after="0"/>
                          <w:jc w:val="center"/>
                          <w:rPr>
                            <w:rFonts w:ascii="Times New Roman" w:hAnsi="Times New Roman"/>
                            <w:sz w:val="20"/>
                            <w:lang w:val="en-NZ"/>
                          </w:rPr>
                        </w:pPr>
                        <w:r>
                          <w:rPr>
                            <w:rFonts w:ascii="Times New Roman" w:hAnsi="Times New Roman"/>
                            <w:sz w:val="20"/>
                            <w:lang w:val="en-NZ"/>
                          </w:rPr>
                          <w:t>Henrietta defaults on the mortgage and the bank begins a mortgagee sale.</w:t>
                        </w:r>
                      </w:p>
                    </w:txbxContent>
                  </v:textbox>
                </v:shape>
                <v:shape id="TextBox 46" o:spid="_x0000_s1078" type="#_x0000_t202" style="position:absolute;left:34759;top:5014;width:18003;height:6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rsidR="00F45904" w:rsidRPr="001769B4" w:rsidRDefault="00F45904" w:rsidP="00CD6CCB">
                        <w:pPr>
                          <w:pStyle w:val="NormalWeb"/>
                          <w:spacing w:before="0" w:after="0"/>
                          <w:jc w:val="center"/>
                          <w:rPr>
                            <w:rFonts w:ascii="Times New Roman" w:hAnsi="Times New Roman"/>
                            <w:b/>
                            <w:sz w:val="20"/>
                            <w:lang w:val="en-NZ"/>
                          </w:rPr>
                        </w:pPr>
                        <w:r>
                          <w:rPr>
                            <w:rFonts w:ascii="Times New Roman" w:hAnsi="Times New Roman"/>
                            <w:b/>
                            <w:sz w:val="20"/>
                            <w:lang w:val="en-NZ"/>
                          </w:rPr>
                          <w:t>1 February 2018</w:t>
                        </w:r>
                      </w:p>
                      <w:p w:rsidR="00F45904" w:rsidRPr="001769B4" w:rsidRDefault="00F45904" w:rsidP="00CD6CCB">
                        <w:pPr>
                          <w:pStyle w:val="NormalWeb"/>
                          <w:spacing w:before="0" w:after="0"/>
                          <w:jc w:val="center"/>
                          <w:rPr>
                            <w:rFonts w:ascii="Times New Roman" w:hAnsi="Times New Roman"/>
                            <w:sz w:val="20"/>
                            <w:lang w:val="en-NZ"/>
                          </w:rPr>
                        </w:pPr>
                        <w:r>
                          <w:rPr>
                            <w:rFonts w:ascii="Times New Roman" w:hAnsi="Times New Roman"/>
                            <w:sz w:val="20"/>
                            <w:lang w:val="en-NZ"/>
                          </w:rPr>
                          <w:t>Bank sells property for $450k and transfers registered title to purchaser.</w:t>
                        </w:r>
                      </w:p>
                    </w:txbxContent>
                  </v:textbox>
                </v:shape>
                <v:shape id="Text Box 50" o:spid="_x0000_s1079" type="#_x0000_t202" style="position:absolute;left:548;top:15044;width:51365;height:11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GMMA&#10;AADbAAAADwAAAGRycy9kb3ducmV2LnhtbERPTWvCQBC9C/6HZYRepG5a0ZY0G5HSVvGmaSvehuw0&#10;CWZnQ3abxH/vHgSPj/edrAZTi45aV1lW8DSLQBDnVldcKPjOPh9fQTiPrLG2TAou5GCVjkcJxtr2&#10;vKfu4AsRQtjFqKD0vomldHlJBt3MNsSB+7OtQR9gW0jdYh/CTS2fo2gpDVYcGkps6L2k/Hz4NwpO&#10;0+K4c8PXTz9fzJuPTZe9/OpMqYfJsH4D4Wnwd/HNvdUKFmF9+BJ+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n+GMMAAADbAAAADwAAAAAAAAAAAAAAAACYAgAAZHJzL2Rv&#10;d25yZXYueG1sUEsFBgAAAAAEAAQA9QAAAIgDAAAAAA==&#10;" fillcolor="white [3201]" stroked="f" strokeweight=".5pt">
                  <v:textbox>
                    <w:txbxContent>
                      <w:p w:rsidR="00F45904" w:rsidRDefault="00F45904" w:rsidP="00CD6CCB">
                        <w:r>
                          <w:t xml:space="preserve">The start date for the bright-line period is 1 May 2016 (date Henrietta acquired registered title) and the end date is 1 February 2018 (date </w:t>
                        </w:r>
                        <w:r w:rsidR="00F831BC">
                          <w:t>land disposed of by mortgagee).</w:t>
                        </w:r>
                      </w:p>
                      <w:p w:rsidR="00F45904" w:rsidRDefault="00F45904" w:rsidP="00CD6CCB"/>
                      <w:p w:rsidR="00F45904" w:rsidRDefault="00F45904" w:rsidP="00CD6CCB">
                        <w:r>
                          <w:t>The sale is covered by the bright-line test and Henrietta will have income of $50k un</w:t>
                        </w:r>
                        <w:r w:rsidR="00F831BC">
                          <w:t>der the bright-line test.</w:t>
                        </w:r>
                      </w:p>
                      <w:p w:rsidR="00F45904" w:rsidRPr="005E2810" w:rsidRDefault="00F45904" w:rsidP="00CD6CCB"/>
                      <w:p w:rsidR="00F45904" w:rsidRPr="005E2810" w:rsidRDefault="00F45904" w:rsidP="00CD6CCB"/>
                    </w:txbxContent>
                  </v:textbox>
                </v:shape>
                <w10:anchorlock/>
              </v:group>
            </w:pict>
          </mc:Fallback>
        </mc:AlternateContent>
      </w:r>
    </w:p>
    <w:p w:rsidR="00CD6CCB" w:rsidRPr="00E5747E" w:rsidRDefault="00CD6CCB" w:rsidP="00CD6CCB"/>
    <w:p w:rsidR="00E5747E" w:rsidRDefault="00E5747E">
      <w:pPr>
        <w:jc w:val="left"/>
        <w:rPr>
          <w:b/>
          <w:i/>
        </w:rPr>
      </w:pPr>
      <w:r>
        <w:rPr>
          <w:b/>
          <w:i/>
        </w:rPr>
        <w:br w:type="page"/>
      </w:r>
    </w:p>
    <w:p w:rsidR="00CD6CCB" w:rsidRPr="00CD6CCB" w:rsidRDefault="00CD6CCB" w:rsidP="00CD6CCB">
      <w:pPr>
        <w:rPr>
          <w:b/>
          <w:i/>
        </w:rPr>
      </w:pPr>
      <w:r w:rsidRPr="00CD6CCB">
        <w:rPr>
          <w:b/>
          <w:i/>
        </w:rPr>
        <w:t>Subdivision</w:t>
      </w:r>
    </w:p>
    <w:p w:rsidR="00CD6CCB" w:rsidRPr="00E5747E" w:rsidRDefault="00CD6CCB" w:rsidP="00CD6CCB"/>
    <w:p w:rsidR="00CD6CCB" w:rsidRDefault="00CD6CCB" w:rsidP="00CD6CCB">
      <w:r w:rsidRPr="005E2810">
        <w:t>The start date for the bright-line period when land is subdivided is the date the owner original</w:t>
      </w:r>
      <w:r>
        <w:t>ly acquired the undivided land.</w:t>
      </w:r>
    </w:p>
    <w:p w:rsidR="00CD6CCB" w:rsidRPr="005E2810" w:rsidRDefault="00CD6CCB" w:rsidP="00CD6CCB"/>
    <w:p w:rsidR="00CD6CCB" w:rsidRPr="005E2810" w:rsidRDefault="00CD6CCB" w:rsidP="00CD6CCB">
      <w:r w:rsidRPr="005E2810">
        <w:rPr>
          <w:noProof/>
          <w:lang w:val="en-NZ" w:eastAsia="en-NZ"/>
        </w:rPr>
        <mc:AlternateContent>
          <mc:Choice Requires="wpc">
            <w:drawing>
              <wp:inline distT="0" distB="0" distL="0" distR="0" wp14:anchorId="7BA889E3" wp14:editId="0BBEC2ED">
                <wp:extent cx="5276850" cy="1762126"/>
                <wp:effectExtent l="0" t="0" r="19050" b="28575"/>
                <wp:docPr id="61" name="Canvas 6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52" name="Straight Connector 52"/>
                        <wps:cNvCnPr/>
                        <wps:spPr>
                          <a:xfrm>
                            <a:off x="875446" y="227835"/>
                            <a:ext cx="3553679" cy="58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875446" y="227835"/>
                            <a:ext cx="0" cy="15130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2601380" y="227670"/>
                            <a:ext cx="0" cy="1513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4429125" y="233662"/>
                            <a:ext cx="0" cy="1513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TextBox 36"/>
                        <wps:cNvSpPr txBox="1"/>
                        <wps:spPr>
                          <a:xfrm>
                            <a:off x="0" y="463122"/>
                            <a:ext cx="1795780" cy="529590"/>
                          </a:xfrm>
                          <a:prstGeom prst="rect">
                            <a:avLst/>
                          </a:prstGeom>
                          <a:noFill/>
                        </wps:spPr>
                        <wps:txbx>
                          <w:txbxContent>
                            <w:p w:rsidR="00F45904" w:rsidRPr="001769B4" w:rsidRDefault="00F45904" w:rsidP="00CD6CCB">
                              <w:pPr>
                                <w:pStyle w:val="NormalWeb"/>
                                <w:spacing w:before="0" w:after="0"/>
                                <w:jc w:val="center"/>
                                <w:rPr>
                                  <w:rFonts w:ascii="Times New Roman" w:hAnsi="Times New Roman"/>
                                  <w:b/>
                                  <w:sz w:val="20"/>
                                  <w:lang w:val="en-NZ"/>
                                </w:rPr>
                              </w:pPr>
                              <w:r w:rsidRPr="001769B4">
                                <w:rPr>
                                  <w:rFonts w:ascii="Times New Roman" w:hAnsi="Times New Roman"/>
                                  <w:b/>
                                  <w:sz w:val="20"/>
                                  <w:lang w:val="en-NZ"/>
                                </w:rPr>
                                <w:t>1 May 2016</w:t>
                              </w:r>
                            </w:p>
                            <w:p w:rsidR="00F45904" w:rsidRPr="001769B4" w:rsidRDefault="00F45904" w:rsidP="00CD6CCB">
                              <w:pPr>
                                <w:pStyle w:val="NormalWeb"/>
                                <w:spacing w:before="0" w:after="0"/>
                                <w:jc w:val="center"/>
                                <w:rPr>
                                  <w:sz w:val="20"/>
                                </w:rPr>
                              </w:pPr>
                              <w:r>
                                <w:rPr>
                                  <w:rFonts w:ascii="Times New Roman" w:hAnsi="Times New Roman"/>
                                  <w:sz w:val="20"/>
                                  <w:lang w:val="en-NZ"/>
                                </w:rPr>
                                <w:t>Bob</w:t>
                              </w:r>
                              <w:r w:rsidRPr="001769B4">
                                <w:rPr>
                                  <w:rFonts w:ascii="Times New Roman" w:hAnsi="Times New Roman"/>
                                  <w:sz w:val="20"/>
                                  <w:lang w:val="en-NZ"/>
                                </w:rPr>
                                <w:t xml:space="preserve"> </w:t>
                              </w:r>
                              <w:r>
                                <w:rPr>
                                  <w:rFonts w:ascii="Times New Roman" w:hAnsi="Times New Roman"/>
                                  <w:sz w:val="20"/>
                                  <w:lang w:val="en-NZ"/>
                                </w:rPr>
                                <w:t>acquires registered title to</w:t>
                              </w:r>
                              <w:r w:rsidRPr="001769B4">
                                <w:rPr>
                                  <w:rFonts w:ascii="Times New Roman" w:hAnsi="Times New Roman"/>
                                  <w:sz w:val="20"/>
                                  <w:lang w:val="en-NZ"/>
                                </w:rPr>
                                <w:t xml:space="preserve"> residential land</w:t>
                              </w:r>
                              <w:r>
                                <w:rPr>
                                  <w:rFonts w:ascii="Times New Roman" w:hAnsi="Times New Roman"/>
                                  <w:sz w:val="20"/>
                                  <w:lang w:val="en-NZ"/>
                                </w:rPr>
                                <w:t>.</w:t>
                              </w:r>
                            </w:p>
                          </w:txbxContent>
                        </wps:txbx>
                        <wps:bodyPr wrap="square" rtlCol="0">
                          <a:spAutoFit/>
                        </wps:bodyPr>
                      </wps:wsp>
                      <wps:wsp>
                        <wps:cNvPr id="57" name="TextBox 37"/>
                        <wps:cNvSpPr txBox="1"/>
                        <wps:spPr>
                          <a:xfrm>
                            <a:off x="1709830" y="439381"/>
                            <a:ext cx="1799590" cy="675640"/>
                          </a:xfrm>
                          <a:prstGeom prst="rect">
                            <a:avLst/>
                          </a:prstGeom>
                          <a:noFill/>
                        </wps:spPr>
                        <wps:txbx>
                          <w:txbxContent>
                            <w:p w:rsidR="00F45904" w:rsidRPr="001769B4" w:rsidRDefault="00F45904" w:rsidP="00CD6CCB">
                              <w:pPr>
                                <w:pStyle w:val="NormalWeb"/>
                                <w:spacing w:before="0" w:after="0"/>
                                <w:jc w:val="center"/>
                                <w:rPr>
                                  <w:rFonts w:ascii="Times New Roman" w:hAnsi="Times New Roman"/>
                                  <w:b/>
                                  <w:sz w:val="20"/>
                                  <w:lang w:val="en-NZ"/>
                                </w:rPr>
                              </w:pPr>
                              <w:r w:rsidRPr="001769B4">
                                <w:rPr>
                                  <w:rFonts w:ascii="Times New Roman" w:hAnsi="Times New Roman"/>
                                  <w:b/>
                                  <w:sz w:val="20"/>
                                  <w:lang w:val="en-NZ"/>
                                </w:rPr>
                                <w:t>1 May 2021</w:t>
                              </w:r>
                            </w:p>
                            <w:p w:rsidR="00F45904" w:rsidRPr="001769B4" w:rsidRDefault="00F45904" w:rsidP="00CD6CCB">
                              <w:pPr>
                                <w:pStyle w:val="NormalWeb"/>
                                <w:spacing w:before="0" w:after="0"/>
                                <w:jc w:val="center"/>
                                <w:rPr>
                                  <w:rFonts w:ascii="Times New Roman" w:hAnsi="Times New Roman"/>
                                  <w:sz w:val="20"/>
                                  <w:lang w:val="en-NZ"/>
                                </w:rPr>
                              </w:pPr>
                              <w:r>
                                <w:rPr>
                                  <w:rFonts w:ascii="Times New Roman" w:hAnsi="Times New Roman"/>
                                  <w:sz w:val="20"/>
                                  <w:lang w:val="en-NZ"/>
                                </w:rPr>
                                <w:t>Bob</w:t>
                              </w:r>
                              <w:r w:rsidRPr="001769B4">
                                <w:rPr>
                                  <w:rFonts w:ascii="Times New Roman" w:hAnsi="Times New Roman"/>
                                  <w:sz w:val="20"/>
                                  <w:lang w:val="en-NZ"/>
                                </w:rPr>
                                <w:t xml:space="preserve"> subdivides the land into two sections and builds a house on the second section</w:t>
                              </w:r>
                              <w:r>
                                <w:rPr>
                                  <w:rFonts w:ascii="Times New Roman" w:hAnsi="Times New Roman"/>
                                  <w:sz w:val="20"/>
                                  <w:lang w:val="en-NZ"/>
                                </w:rPr>
                                <w:t>.</w:t>
                              </w:r>
                            </w:p>
                          </w:txbxContent>
                        </wps:txbx>
                        <wps:bodyPr wrap="square" rtlCol="0">
                          <a:spAutoFit/>
                        </wps:bodyPr>
                      </wps:wsp>
                      <wps:wsp>
                        <wps:cNvPr id="58" name="TextBox 46"/>
                        <wps:cNvSpPr txBox="1"/>
                        <wps:spPr>
                          <a:xfrm>
                            <a:off x="3476850" y="483974"/>
                            <a:ext cx="1800225" cy="529590"/>
                          </a:xfrm>
                          <a:prstGeom prst="rect">
                            <a:avLst/>
                          </a:prstGeom>
                          <a:noFill/>
                        </wps:spPr>
                        <wps:txbx>
                          <w:txbxContent>
                            <w:p w:rsidR="00F45904" w:rsidRPr="001769B4" w:rsidRDefault="00F45904" w:rsidP="00CD6CCB">
                              <w:pPr>
                                <w:pStyle w:val="NormalWeb"/>
                                <w:spacing w:before="0" w:after="0"/>
                                <w:jc w:val="center"/>
                                <w:rPr>
                                  <w:rFonts w:ascii="Times New Roman" w:hAnsi="Times New Roman"/>
                                  <w:b/>
                                  <w:sz w:val="20"/>
                                  <w:lang w:val="en-NZ"/>
                                </w:rPr>
                              </w:pPr>
                              <w:r w:rsidRPr="001769B4">
                                <w:rPr>
                                  <w:rFonts w:ascii="Times New Roman" w:hAnsi="Times New Roman"/>
                                  <w:b/>
                                  <w:sz w:val="20"/>
                                  <w:lang w:val="en-NZ"/>
                                </w:rPr>
                                <w:t>1 May 2022</w:t>
                              </w:r>
                            </w:p>
                            <w:p w:rsidR="00F45904" w:rsidRPr="001769B4" w:rsidRDefault="00F45904" w:rsidP="00CD6CCB">
                              <w:pPr>
                                <w:pStyle w:val="NormalWeb"/>
                                <w:spacing w:before="0" w:after="0"/>
                                <w:jc w:val="center"/>
                                <w:rPr>
                                  <w:rFonts w:ascii="Times New Roman" w:hAnsi="Times New Roman"/>
                                  <w:sz w:val="20"/>
                                  <w:lang w:val="en-NZ"/>
                                </w:rPr>
                              </w:pPr>
                              <w:r>
                                <w:rPr>
                                  <w:rFonts w:ascii="Times New Roman" w:hAnsi="Times New Roman"/>
                                  <w:sz w:val="20"/>
                                  <w:lang w:val="en-NZ"/>
                                </w:rPr>
                                <w:t>John</w:t>
                              </w:r>
                              <w:r w:rsidRPr="001769B4">
                                <w:rPr>
                                  <w:rFonts w:ascii="Times New Roman" w:hAnsi="Times New Roman"/>
                                  <w:sz w:val="20"/>
                                  <w:lang w:val="en-NZ"/>
                                </w:rPr>
                                <w:t xml:space="preserve"> </w:t>
                              </w:r>
                              <w:r>
                                <w:rPr>
                                  <w:rFonts w:ascii="Times New Roman" w:hAnsi="Times New Roman"/>
                                  <w:sz w:val="20"/>
                                  <w:lang w:val="en-NZ"/>
                                </w:rPr>
                                <w:t xml:space="preserve">enters an agreement to sell the </w:t>
                              </w:r>
                              <w:r w:rsidRPr="001769B4">
                                <w:rPr>
                                  <w:rFonts w:ascii="Times New Roman" w:hAnsi="Times New Roman"/>
                                  <w:sz w:val="20"/>
                                  <w:lang w:val="en-NZ"/>
                                </w:rPr>
                                <w:t xml:space="preserve">second section to </w:t>
                              </w:r>
                              <w:r>
                                <w:rPr>
                                  <w:rFonts w:ascii="Times New Roman" w:hAnsi="Times New Roman"/>
                                  <w:sz w:val="20"/>
                                  <w:lang w:val="en-NZ"/>
                                </w:rPr>
                                <w:t>Carla.</w:t>
                              </w:r>
                            </w:p>
                          </w:txbxContent>
                        </wps:txbx>
                        <wps:bodyPr wrap="square" rtlCol="0">
                          <a:spAutoFit/>
                        </wps:bodyPr>
                      </wps:wsp>
                      <wps:wsp>
                        <wps:cNvPr id="60" name="Text Box 60"/>
                        <wps:cNvSpPr txBox="1"/>
                        <wps:spPr>
                          <a:xfrm>
                            <a:off x="54586" y="1115020"/>
                            <a:ext cx="5136539" cy="6185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5904" w:rsidRPr="005E2810" w:rsidRDefault="00F45904" w:rsidP="00CD6CCB">
                              <w:r w:rsidRPr="005E2810">
                                <w:t>The start date for the bright-line period is 1 May 2016 and the end date is 1 May 2022</w:t>
                              </w:r>
                              <w:r>
                                <w:t>.  A</w:t>
                              </w:r>
                              <w:r w:rsidRPr="005E2810">
                                <w:t xml:space="preserve">s a result, </w:t>
                              </w:r>
                              <w:r>
                                <w:t>Bob’s</w:t>
                              </w:r>
                              <w:r w:rsidRPr="005E2810">
                                <w:t xml:space="preserve"> sale of the second section to Carl</w:t>
                              </w:r>
                              <w:r>
                                <w:t>a</w:t>
                              </w:r>
                              <w:r w:rsidRPr="005E2810">
                                <w:t xml:space="preserve"> is not covered by the bright-line test.</w:t>
                              </w:r>
                            </w:p>
                            <w:p w:rsidR="00F45904" w:rsidRPr="005E2810" w:rsidRDefault="00F45904" w:rsidP="00CD6C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61" o:spid="_x0000_s1080" editas="canvas" style="width:415.5pt;height:138.75pt;mso-position-horizontal-relative:char;mso-position-vertical-relative:line" coordsize="52768,1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">
                <v:shape id="_x0000_s1081" type="#_x0000_t75" style="position:absolute;width:52768;height:17621;visibility:visible;mso-wrap-style:square" stroked="t" strokecolor="black [3213]">
                  <v:fill o:detectmouseclick="t"/>
                  <v:path o:connecttype="none"/>
                </v:shape>
                <v:line id="Straight Connector 52" o:spid="_x0000_s1082" style="position:absolute;visibility:visible;mso-wrap-style:square" from="8754,2278" to="44291,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8HFMQAAADbAAAADwAAAGRycy9kb3ducmV2LnhtbESPQWvCQBSE7wX/w/KE3urGgEaiqwRB&#10;0Hqqben1kX0mabNvw+4ao7/eLRR6HGbmG2a1GUwrenK+saxgOklAEJdWN1wp+HjfvSxA+ICssbVM&#10;Cm7kYbMePa0w1/bKb9SfQiUihH2OCuoQulxKX9Zk0E9sRxy9s3UGQ5SuktrhNcJNK9MkmUuDDceF&#10;Gjva1lT+nC5GwaJ8/XZFVhyms88uu/fpcb77ypR6Hg/FEkSgIfyH/9p7rWCWwu+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wcUxAAAANsAAAAPAAAAAAAAAAAA&#10;AAAAAKECAABkcnMvZG93bnJldi54bWxQSwUGAAAAAAQABAD5AAAAkgMAAAAA&#10;" strokecolor="black [3213]"/>
                <v:line id="Straight Connector 53" o:spid="_x0000_s1083" style="position:absolute;visibility:visible;mso-wrap-style:square" from="8754,2278" to="8754,3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ij8UAAADbAAAADwAAAGRycy9kb3ducmV2LnhtbESPQWvCQBSE7wX/w/KE3upGRSPRVYIg&#10;2PZUW/H6yD6TtNm3YXeNqb/eLRQ8DjPzDbPa9KYRHTlfW1YwHiUgiAuray4VfH3uXhYgfEDW2Fgm&#10;Bb/kYbMePK0w0/bKH9QdQikihH2GCqoQ2kxKX1Rk0I9sSxy9s3UGQ5SulNrhNcJNIydJMpcGa44L&#10;Fba0raj4OVyMgkXx9u3yNH8dz45teusm7/PdKVXqedjnSxCB+vAI/7f3WsFsC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POij8UAAADbAAAADwAAAAAAAAAA&#10;AAAAAAChAgAAZHJzL2Rvd25yZXYueG1sUEsFBgAAAAAEAAQA+QAAAJMDAAAAAA==&#10;" strokecolor="black [3213]"/>
                <v:line id="Straight Connector 54" o:spid="_x0000_s1084" style="position:absolute;visibility:visible;mso-wrap-style:square" from="26013,2276" to="26013,3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i7v8UAAADbAAAADwAAAGRycy9kb3ducmV2LnhtbESPQWvCQBSE74L/YXmCF6kbbY0aXUUs&#10;hV5EGj20t0f2mQSzb0N2Nem/7xYEj8PMfMOst52pxJ0aV1pWMBlHIIgzq0vOFZxPHy8LEM4ja6ws&#10;k4JfcrDd9HtrTLRt+Yvuqc9FgLBLUEHhfZ1I6bKCDLqxrYmDd7GNQR9kk0vdYBvgppLTKIqlwZLD&#10;QoE17QvKrunNKHg/x226zGfz0eT10C35OP3+ORilhoNutwLhqfPP8KP9qRXM3uD/S/gB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i7v8UAAADbAAAADwAAAAAAAAAA&#10;AAAAAAChAgAAZHJzL2Rvd25yZXYueG1sUEsFBgAAAAAEAAQA+QAAAJMDAAAAAA==&#10;" strokecolor="black [3213]" strokeweight="1pt"/>
                <v:line id="Straight Connector 55" o:spid="_x0000_s1085" style="position:absolute;visibility:visible;mso-wrap-style:square" from="44291,2336" to="44291,3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QeJMUAAADbAAAADwAAAGRycy9kb3ducmV2LnhtbESPQWvCQBSE74L/YXlCL6IblcSauoq0&#10;CL2IGD3Y2yP7mgSzb0N2a9J/3y0IHoeZ+YZZb3tTizu1rrKsYDaNQBDnVldcKLic95NXEM4ja6wt&#10;k4JfcrDdDAdrTLXt+ET3zBciQNilqKD0vkmldHlJBt3UNsTB+7atQR9kW0jdYhfgppbzKEqkwYrD&#10;QokNvZeU37Ifo+DjknTZqoiX49ni0K/4OL9+HYxSL6N+9wbCU++f4Uf7UyuIY/j/En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8QeJMUAAADbAAAADwAAAAAAAAAA&#10;AAAAAAChAgAAZHJzL2Rvd25yZXYueG1sUEsFBgAAAAAEAAQA+QAAAJMDAAAAAA==&#10;" strokecolor="black [3213]" strokeweight="1pt"/>
                <v:shape id="TextBox 36" o:spid="_x0000_s1086" type="#_x0000_t202" style="position:absolute;top:4631;width:17957;height:5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jF8EA&#10;AADbAAAADwAAAGRycy9kb3ducmV2LnhtbESPQWvCQBSE70L/w/IK3nRjQSnRVaRW8OBFG++P7DMb&#10;mn0bsk8T/71bKHgcZuYbZrUZfKPu1MU6sIHZNANFXAZbc2Wg+NlPPkFFQbbYBCYDD4qwWb+NVpjb&#10;0POJ7mepVIJwzNGAE2lzrWPpyGOchpY4edfQeZQku0rbDvsE943+yLKF9lhzWnDY0pej8vd88wZE&#10;7Hb2KL59PFyG4653WTnHwpjx+7BdghIa5BX+bx+sgfk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M4xfBAAAA2wAAAA8AAAAAAAAAAAAAAAAAmAIAAGRycy9kb3du&#10;cmV2LnhtbFBLBQYAAAAABAAEAPUAAACGAwAAAAA=&#10;" filled="f" stroked="f">
                  <v:textbox style="mso-fit-shape-to-text:t">
                    <w:txbxContent>
                      <w:p w:rsidR="002B016D" w:rsidRPr="001769B4" w:rsidRDefault="002B016D" w:rsidP="00CD6CCB">
                        <w:pPr>
                          <w:pStyle w:val="NormalWeb"/>
                          <w:spacing w:before="0" w:after="0"/>
                          <w:jc w:val="center"/>
                          <w:rPr>
                            <w:rFonts w:ascii="Times New Roman" w:hAnsi="Times New Roman"/>
                            <w:b/>
                            <w:sz w:val="20"/>
                            <w:lang w:val="en-NZ"/>
                          </w:rPr>
                        </w:pPr>
                        <w:r w:rsidRPr="001769B4">
                          <w:rPr>
                            <w:rFonts w:ascii="Times New Roman" w:hAnsi="Times New Roman"/>
                            <w:b/>
                            <w:sz w:val="20"/>
                            <w:lang w:val="en-NZ"/>
                          </w:rPr>
                          <w:t>1 May 2016</w:t>
                        </w:r>
                      </w:p>
                      <w:p w:rsidR="002B016D" w:rsidRPr="001769B4" w:rsidRDefault="002B016D" w:rsidP="00CD6CCB">
                        <w:pPr>
                          <w:pStyle w:val="NormalWeb"/>
                          <w:spacing w:before="0" w:after="0"/>
                          <w:jc w:val="center"/>
                          <w:rPr>
                            <w:sz w:val="20"/>
                          </w:rPr>
                        </w:pPr>
                        <w:r>
                          <w:rPr>
                            <w:rFonts w:ascii="Times New Roman" w:hAnsi="Times New Roman"/>
                            <w:sz w:val="20"/>
                            <w:lang w:val="en-NZ"/>
                          </w:rPr>
                          <w:t>Bob</w:t>
                        </w:r>
                        <w:r w:rsidRPr="001769B4">
                          <w:rPr>
                            <w:rFonts w:ascii="Times New Roman" w:hAnsi="Times New Roman"/>
                            <w:sz w:val="20"/>
                            <w:lang w:val="en-NZ"/>
                          </w:rPr>
                          <w:t xml:space="preserve"> </w:t>
                        </w:r>
                        <w:r>
                          <w:rPr>
                            <w:rFonts w:ascii="Times New Roman" w:hAnsi="Times New Roman"/>
                            <w:sz w:val="20"/>
                            <w:lang w:val="en-NZ"/>
                          </w:rPr>
                          <w:t>acquires registered title to</w:t>
                        </w:r>
                        <w:r w:rsidRPr="001769B4">
                          <w:rPr>
                            <w:rFonts w:ascii="Times New Roman" w:hAnsi="Times New Roman"/>
                            <w:sz w:val="20"/>
                            <w:lang w:val="en-NZ"/>
                          </w:rPr>
                          <w:t xml:space="preserve"> residential land</w:t>
                        </w:r>
                        <w:r>
                          <w:rPr>
                            <w:rFonts w:ascii="Times New Roman" w:hAnsi="Times New Roman"/>
                            <w:sz w:val="20"/>
                            <w:lang w:val="en-NZ"/>
                          </w:rPr>
                          <w:t>.</w:t>
                        </w:r>
                      </w:p>
                    </w:txbxContent>
                  </v:textbox>
                </v:shape>
                <v:shape id="TextBox 37" o:spid="_x0000_s1087" type="#_x0000_t202" style="position:absolute;left:17098;top:4393;width:17996;height:6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BGjMEA&#10;AADbAAAADwAAAGRycy9kb3ducmV2LnhtbESPQWvCQBSE7wX/w/IK3upGwSqpq4hW8NCLGu+P7Gs2&#10;NPs2ZF9N/PfdguBxmJlvmNVm8I26URfrwAamkwwUcRlszZWB4nJ4W4KKgmyxCUwG7hRhsx69rDC3&#10;oecT3c5SqQThmKMBJ9LmWsfSkcc4CS1x8r5D51GS7CptO+wT3Dd6lmXv2mPNacFhSztH5c/51xsQ&#10;sdvpvfj08Xgdvva9y8o5FsaMX4ftByihQZ7hR/toDcw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ARozBAAAA2wAAAA8AAAAAAAAAAAAAAAAAmAIAAGRycy9kb3du&#10;cmV2LnhtbFBLBQYAAAAABAAEAPUAAACGAwAAAAA=&#10;" filled="f" stroked="f">
                  <v:textbox style="mso-fit-shape-to-text:t">
                    <w:txbxContent>
                      <w:p w:rsidR="002B016D" w:rsidRPr="001769B4" w:rsidRDefault="002B016D" w:rsidP="00CD6CCB">
                        <w:pPr>
                          <w:pStyle w:val="NormalWeb"/>
                          <w:spacing w:before="0" w:after="0"/>
                          <w:jc w:val="center"/>
                          <w:rPr>
                            <w:rFonts w:ascii="Times New Roman" w:hAnsi="Times New Roman"/>
                            <w:b/>
                            <w:sz w:val="20"/>
                            <w:lang w:val="en-NZ"/>
                          </w:rPr>
                        </w:pPr>
                        <w:r w:rsidRPr="001769B4">
                          <w:rPr>
                            <w:rFonts w:ascii="Times New Roman" w:hAnsi="Times New Roman"/>
                            <w:b/>
                            <w:sz w:val="20"/>
                            <w:lang w:val="en-NZ"/>
                          </w:rPr>
                          <w:t>1 May 2021</w:t>
                        </w:r>
                      </w:p>
                      <w:p w:rsidR="002B016D" w:rsidRPr="001769B4" w:rsidRDefault="002B016D" w:rsidP="00CD6CCB">
                        <w:pPr>
                          <w:pStyle w:val="NormalWeb"/>
                          <w:spacing w:before="0" w:after="0"/>
                          <w:jc w:val="center"/>
                          <w:rPr>
                            <w:rFonts w:ascii="Times New Roman" w:hAnsi="Times New Roman"/>
                            <w:sz w:val="20"/>
                            <w:lang w:val="en-NZ"/>
                          </w:rPr>
                        </w:pPr>
                        <w:r>
                          <w:rPr>
                            <w:rFonts w:ascii="Times New Roman" w:hAnsi="Times New Roman"/>
                            <w:sz w:val="20"/>
                            <w:lang w:val="en-NZ"/>
                          </w:rPr>
                          <w:t>Bob</w:t>
                        </w:r>
                        <w:r w:rsidRPr="001769B4">
                          <w:rPr>
                            <w:rFonts w:ascii="Times New Roman" w:hAnsi="Times New Roman"/>
                            <w:sz w:val="20"/>
                            <w:lang w:val="en-NZ"/>
                          </w:rPr>
                          <w:t xml:space="preserve"> subdivides the land into two sections and builds a house on the second section</w:t>
                        </w:r>
                        <w:r>
                          <w:rPr>
                            <w:rFonts w:ascii="Times New Roman" w:hAnsi="Times New Roman"/>
                            <w:sz w:val="20"/>
                            <w:lang w:val="en-NZ"/>
                          </w:rPr>
                          <w:t>.</w:t>
                        </w:r>
                      </w:p>
                    </w:txbxContent>
                  </v:textbox>
                </v:shape>
                <v:shape id="TextBox 46" o:spid="_x0000_s1088" type="#_x0000_t202" style="position:absolute;left:34768;top:4839;width:18002;height:5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r4A&#10;AADbAAAADwAAAGRycy9kb3ducmV2LnhtbERPS4vCMBC+L/gfwgje1lTBZalGER/gwcu69T40Y1Ns&#10;JqUZbf335rCwx4/vvdoMvlFP6mId2MBsmoEiLoOtuTJQ/B4/v0FFQbbYBCYDL4qwWY8+Vpjb0PMP&#10;PS9SqRTCMUcDTqTNtY6lI49xGlrixN1C51ES7CptO+xTuG/0PMu+tMeaU4PDlnaOyvvl4Q2I2O3s&#10;VRx8PF2H8753WbnAwpjJeNguQQkN8i/+c5+sgUUam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f0v6+AAAA2wAAAA8AAAAAAAAAAAAAAAAAmAIAAGRycy9kb3ducmV2&#10;LnhtbFBLBQYAAAAABAAEAPUAAACDAwAAAAA=&#10;" filled="f" stroked="f">
                  <v:textbox style="mso-fit-shape-to-text:t">
                    <w:txbxContent>
                      <w:p w:rsidR="002B016D" w:rsidRPr="001769B4" w:rsidRDefault="002B016D" w:rsidP="00CD6CCB">
                        <w:pPr>
                          <w:pStyle w:val="NormalWeb"/>
                          <w:spacing w:before="0" w:after="0"/>
                          <w:jc w:val="center"/>
                          <w:rPr>
                            <w:rFonts w:ascii="Times New Roman" w:hAnsi="Times New Roman"/>
                            <w:b/>
                            <w:sz w:val="20"/>
                            <w:lang w:val="en-NZ"/>
                          </w:rPr>
                        </w:pPr>
                        <w:r w:rsidRPr="001769B4">
                          <w:rPr>
                            <w:rFonts w:ascii="Times New Roman" w:hAnsi="Times New Roman"/>
                            <w:b/>
                            <w:sz w:val="20"/>
                            <w:lang w:val="en-NZ"/>
                          </w:rPr>
                          <w:t>1 May 2022</w:t>
                        </w:r>
                      </w:p>
                      <w:p w:rsidR="002B016D" w:rsidRPr="001769B4" w:rsidRDefault="002B016D" w:rsidP="00CD6CCB">
                        <w:pPr>
                          <w:pStyle w:val="NormalWeb"/>
                          <w:spacing w:before="0" w:after="0"/>
                          <w:jc w:val="center"/>
                          <w:rPr>
                            <w:rFonts w:ascii="Times New Roman" w:hAnsi="Times New Roman"/>
                            <w:sz w:val="20"/>
                            <w:lang w:val="en-NZ"/>
                          </w:rPr>
                        </w:pPr>
                        <w:r>
                          <w:rPr>
                            <w:rFonts w:ascii="Times New Roman" w:hAnsi="Times New Roman"/>
                            <w:sz w:val="20"/>
                            <w:lang w:val="en-NZ"/>
                          </w:rPr>
                          <w:t>John</w:t>
                        </w:r>
                        <w:r w:rsidRPr="001769B4">
                          <w:rPr>
                            <w:rFonts w:ascii="Times New Roman" w:hAnsi="Times New Roman"/>
                            <w:sz w:val="20"/>
                            <w:lang w:val="en-NZ"/>
                          </w:rPr>
                          <w:t xml:space="preserve"> </w:t>
                        </w:r>
                        <w:r>
                          <w:rPr>
                            <w:rFonts w:ascii="Times New Roman" w:hAnsi="Times New Roman"/>
                            <w:sz w:val="20"/>
                            <w:lang w:val="en-NZ"/>
                          </w:rPr>
                          <w:t xml:space="preserve">enters an agreement to sell the </w:t>
                        </w:r>
                        <w:r w:rsidRPr="001769B4">
                          <w:rPr>
                            <w:rFonts w:ascii="Times New Roman" w:hAnsi="Times New Roman"/>
                            <w:sz w:val="20"/>
                            <w:lang w:val="en-NZ"/>
                          </w:rPr>
                          <w:t xml:space="preserve">second section to </w:t>
                        </w:r>
                        <w:r>
                          <w:rPr>
                            <w:rFonts w:ascii="Times New Roman" w:hAnsi="Times New Roman"/>
                            <w:sz w:val="20"/>
                            <w:lang w:val="en-NZ"/>
                          </w:rPr>
                          <w:t>Carla.</w:t>
                        </w:r>
                      </w:p>
                    </w:txbxContent>
                  </v:textbox>
                </v:shape>
                <v:shape id="Text Box 60" o:spid="_x0000_s1089" type="#_x0000_t202" style="position:absolute;left:545;top:11150;width:51366;height:6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0pcMA&#10;AADbAAAADwAAAGRycy9kb3ducmV2LnhtbERPTWvCQBC9C/6HZYRepG5a0ZY0G5HSVvGmaSvehuw0&#10;CWZnQ3abxH/vHgSPj/edrAZTi45aV1lW8DSLQBDnVldcKPjOPh9fQTiPrLG2TAou5GCVjkcJxtr2&#10;vKfu4AsRQtjFqKD0vomldHlJBt3MNsSB+7OtQR9gW0jdYh/CTS2fo2gpDVYcGkps6L2k/Hz4NwpO&#10;0+K4c8PXTz9fzJuPTZe9/OpMqYfJsH4D4Wnwd/HNvdUKlmF9+BJ+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U0pcMAAADbAAAADwAAAAAAAAAAAAAAAACYAgAAZHJzL2Rv&#10;d25yZXYueG1sUEsFBgAAAAAEAAQA9QAAAIgDAAAAAA==&#10;" fillcolor="white [3201]" stroked="f" strokeweight=".5pt">
                  <v:textbox>
                    <w:txbxContent>
                      <w:p w:rsidR="002B016D" w:rsidRPr="005E2810" w:rsidRDefault="002B016D" w:rsidP="00CD6CCB">
                        <w:r w:rsidRPr="005E2810">
                          <w:t>The start date for the bright-line period is 1 May 2016 and the end date is 1 May 2022</w:t>
                        </w:r>
                        <w:r>
                          <w:t>.  A</w:t>
                        </w:r>
                        <w:r w:rsidRPr="005E2810">
                          <w:t xml:space="preserve">s a result, </w:t>
                        </w:r>
                        <w:r>
                          <w:t>Bob’s</w:t>
                        </w:r>
                        <w:r w:rsidRPr="005E2810">
                          <w:t xml:space="preserve"> sale of the second section to Carl</w:t>
                        </w:r>
                        <w:r>
                          <w:t>a</w:t>
                        </w:r>
                        <w:r w:rsidRPr="005E2810">
                          <w:t xml:space="preserve"> is not covered by the bright-line test.</w:t>
                        </w:r>
                      </w:p>
                      <w:p w:rsidR="002B016D" w:rsidRPr="005E2810" w:rsidRDefault="002B016D" w:rsidP="00CD6CCB"/>
                    </w:txbxContent>
                  </v:textbox>
                </v:shape>
                <w10:anchorlock/>
              </v:group>
            </w:pict>
          </mc:Fallback>
        </mc:AlternateContent>
      </w:r>
    </w:p>
    <w:p w:rsidR="00CD6CCB" w:rsidRPr="00E5747E" w:rsidRDefault="00CD6CCB" w:rsidP="00CD6CCB"/>
    <w:p w:rsidR="00CD6CCB" w:rsidRDefault="00E56901" w:rsidP="00CD6CCB">
      <w:pPr>
        <w:rPr>
          <w:b/>
        </w:rPr>
      </w:pPr>
      <w:r>
        <w:rPr>
          <w:b/>
        </w:rPr>
        <w:t>Residential land</w:t>
      </w:r>
    </w:p>
    <w:p w:rsidR="00E56901" w:rsidRPr="00E5747E" w:rsidRDefault="00E56901" w:rsidP="00CD6CCB"/>
    <w:p w:rsidR="00E56901" w:rsidRDefault="00E56901" w:rsidP="00CD6CCB">
      <w:r>
        <w:t>The proposed bright-line test will apply</w:t>
      </w:r>
      <w:r w:rsidR="001E0D69">
        <w:t xml:space="preserve"> only</w:t>
      </w:r>
      <w:r>
        <w:t xml:space="preserve"> to residential land.</w:t>
      </w:r>
    </w:p>
    <w:p w:rsidR="00E56901" w:rsidRDefault="00E56901" w:rsidP="00CD6CCB"/>
    <w:p w:rsidR="00E56901" w:rsidRDefault="00E56901" w:rsidP="00CD6CCB">
      <w:r>
        <w:t xml:space="preserve">Land is </w:t>
      </w:r>
      <w:r w:rsidR="00BB2F9D">
        <w:t>“</w:t>
      </w:r>
      <w:r>
        <w:t>residential land</w:t>
      </w:r>
      <w:r w:rsidR="00BB2F9D">
        <w:t>”</w:t>
      </w:r>
      <w:r>
        <w:t xml:space="preserve"> if either:</w:t>
      </w:r>
    </w:p>
    <w:p w:rsidR="00DD7ABC" w:rsidRDefault="00DD7ABC" w:rsidP="00CD6CCB"/>
    <w:p w:rsidR="00E56901" w:rsidRDefault="00BB2F9D" w:rsidP="00DD7ABC">
      <w:pPr>
        <w:pStyle w:val="Bullets"/>
        <w:tabs>
          <w:tab w:val="clear" w:pos="851"/>
          <w:tab w:val="num" w:pos="567"/>
        </w:tabs>
        <w:spacing w:after="140"/>
        <w:ind w:left="567" w:hanging="567"/>
        <w:jc w:val="both"/>
      </w:pPr>
      <w:r>
        <w:t>t</w:t>
      </w:r>
      <w:r w:rsidR="00E56901">
        <w:t>he land has a dwelling on it; or</w:t>
      </w:r>
    </w:p>
    <w:p w:rsidR="00E56901" w:rsidRDefault="00BB2F9D" w:rsidP="00DD7ABC">
      <w:pPr>
        <w:pStyle w:val="Bullets"/>
        <w:tabs>
          <w:tab w:val="clear" w:pos="851"/>
          <w:tab w:val="num" w:pos="567"/>
        </w:tabs>
        <w:spacing w:after="140"/>
        <w:ind w:left="567" w:hanging="567"/>
        <w:jc w:val="both"/>
      </w:pPr>
      <w:r>
        <w:t>t</w:t>
      </w:r>
      <w:r w:rsidR="00E56901">
        <w:t>here is an arrangement to put a dwelling on it; or</w:t>
      </w:r>
    </w:p>
    <w:p w:rsidR="00E56901" w:rsidRDefault="00BB2F9D" w:rsidP="00DD7ABC">
      <w:pPr>
        <w:pStyle w:val="Bullets"/>
        <w:tabs>
          <w:tab w:val="clear" w:pos="851"/>
          <w:tab w:val="num" w:pos="567"/>
        </w:tabs>
        <w:ind w:left="567" w:hanging="567"/>
        <w:jc w:val="both"/>
      </w:pPr>
      <w:proofErr w:type="gramStart"/>
      <w:r>
        <w:t>i</w:t>
      </w:r>
      <w:r w:rsidR="00E56901">
        <w:t>t</w:t>
      </w:r>
      <w:proofErr w:type="gramEnd"/>
      <w:r w:rsidR="00E56901">
        <w:t xml:space="preserve"> is bare land that because of its area and nature is capable of having a dwelling on it.</w:t>
      </w:r>
    </w:p>
    <w:p w:rsidR="00E56901" w:rsidRDefault="00E56901" w:rsidP="00E56901"/>
    <w:p w:rsidR="00E56901" w:rsidRPr="00E56901" w:rsidRDefault="00E56901" w:rsidP="00E56901">
      <w:r>
        <w:t>However, even if land meets one of these th</w:t>
      </w:r>
      <w:r w:rsidR="00BB2F9D">
        <w:t>r</w:t>
      </w:r>
      <w:r>
        <w:t xml:space="preserve">ee requirements it is not </w:t>
      </w:r>
      <w:r w:rsidR="00BB2F9D">
        <w:t>“</w:t>
      </w:r>
      <w:r>
        <w:t>residential land</w:t>
      </w:r>
      <w:r w:rsidR="00BB2F9D">
        <w:t>”</w:t>
      </w:r>
      <w:r>
        <w:t xml:space="preserve"> if it is used predominantly as business premises or is farmland.</w:t>
      </w:r>
    </w:p>
    <w:p w:rsidR="00CD6CCB" w:rsidRPr="00E5747E" w:rsidRDefault="00CD6CCB" w:rsidP="00CD6CCB"/>
    <w:p w:rsidR="00E56901" w:rsidRDefault="00E56901" w:rsidP="00D13EB5">
      <w:pPr>
        <w:pBdr>
          <w:top w:val="single" w:sz="4" w:space="10" w:color="auto"/>
          <w:left w:val="single" w:sz="4" w:space="10" w:color="auto"/>
          <w:bottom w:val="single" w:sz="4" w:space="10" w:color="auto"/>
          <w:right w:val="single" w:sz="4" w:space="10" w:color="auto"/>
        </w:pBdr>
        <w:rPr>
          <w:b/>
          <w:i/>
        </w:rPr>
      </w:pPr>
      <w:r w:rsidRPr="00E56901">
        <w:rPr>
          <w:b/>
          <w:i/>
        </w:rPr>
        <w:t>Development</w:t>
      </w:r>
    </w:p>
    <w:p w:rsidR="001E0D69" w:rsidRPr="00F45904" w:rsidRDefault="001E0D69" w:rsidP="00D13EB5">
      <w:pPr>
        <w:pBdr>
          <w:top w:val="single" w:sz="4" w:space="10" w:color="auto"/>
          <w:left w:val="single" w:sz="4" w:space="10" w:color="auto"/>
          <w:bottom w:val="single" w:sz="4" w:space="10" w:color="auto"/>
          <w:right w:val="single" w:sz="4" w:space="10" w:color="auto"/>
        </w:pBdr>
      </w:pPr>
    </w:p>
    <w:p w:rsidR="00E56901" w:rsidRDefault="00E56901" w:rsidP="00D13EB5">
      <w:pPr>
        <w:pBdr>
          <w:top w:val="single" w:sz="4" w:space="10" w:color="auto"/>
          <w:left w:val="single" w:sz="4" w:space="10" w:color="auto"/>
          <w:bottom w:val="single" w:sz="4" w:space="10" w:color="auto"/>
          <w:right w:val="single" w:sz="4" w:space="10" w:color="auto"/>
        </w:pBdr>
      </w:pPr>
      <w:r w:rsidRPr="00E56901">
        <w:t>Andrew buys an empty plot of land</w:t>
      </w:r>
      <w:r w:rsidR="00F16E3E">
        <w:t>.  H</w:t>
      </w:r>
      <w:r w:rsidRPr="00E56901">
        <w:t xml:space="preserve">e plans to develop the plot by subdividing it into </w:t>
      </w:r>
      <w:r w:rsidR="00BB2F9D">
        <w:t>four</w:t>
      </w:r>
      <w:r w:rsidRPr="00E56901">
        <w:t xml:space="preserve"> lots and building houses on each of the lots.</w:t>
      </w:r>
    </w:p>
    <w:p w:rsidR="00E56901" w:rsidRPr="00E56901" w:rsidRDefault="00E56901" w:rsidP="00D13EB5">
      <w:pPr>
        <w:pBdr>
          <w:top w:val="single" w:sz="4" w:space="10" w:color="auto"/>
          <w:left w:val="single" w:sz="4" w:space="10" w:color="auto"/>
          <w:bottom w:val="single" w:sz="4" w:space="10" w:color="auto"/>
          <w:right w:val="single" w:sz="4" w:space="10" w:color="auto"/>
        </w:pBdr>
      </w:pPr>
    </w:p>
    <w:p w:rsidR="00E56901" w:rsidRDefault="00E56901" w:rsidP="00D13EB5">
      <w:pPr>
        <w:pBdr>
          <w:top w:val="single" w:sz="4" w:space="10" w:color="auto"/>
          <w:left w:val="single" w:sz="4" w:space="10" w:color="auto"/>
          <w:bottom w:val="single" w:sz="4" w:space="10" w:color="auto"/>
          <w:right w:val="single" w:sz="4" w:space="10" w:color="auto"/>
        </w:pBdr>
      </w:pPr>
      <w:r w:rsidRPr="00E56901">
        <w:t>Andrew sells lot 1 off the plan to Bob</w:t>
      </w:r>
      <w:r w:rsidR="00F16E3E">
        <w:t>.  O</w:t>
      </w:r>
      <w:r w:rsidRPr="00E56901">
        <w:t xml:space="preserve">ne month later, Bob sells lot 1 to </w:t>
      </w:r>
      <w:r w:rsidR="001E0D69">
        <w:t>Carla</w:t>
      </w:r>
      <w:r w:rsidRPr="00E56901">
        <w:t>.</w:t>
      </w:r>
    </w:p>
    <w:p w:rsidR="00E56901" w:rsidRPr="00E56901" w:rsidRDefault="00E56901" w:rsidP="00D13EB5">
      <w:pPr>
        <w:pBdr>
          <w:top w:val="single" w:sz="4" w:space="10" w:color="auto"/>
          <w:left w:val="single" w:sz="4" w:space="10" w:color="auto"/>
          <w:bottom w:val="single" w:sz="4" w:space="10" w:color="auto"/>
          <w:right w:val="single" w:sz="4" w:space="10" w:color="auto"/>
        </w:pBdr>
      </w:pPr>
    </w:p>
    <w:p w:rsidR="00E56901" w:rsidRPr="00E56901" w:rsidRDefault="00E56901" w:rsidP="00D13EB5">
      <w:pPr>
        <w:pBdr>
          <w:top w:val="single" w:sz="4" w:space="10" w:color="auto"/>
          <w:left w:val="single" w:sz="4" w:space="10" w:color="auto"/>
          <w:bottom w:val="single" w:sz="4" w:space="10" w:color="auto"/>
          <w:right w:val="single" w:sz="4" w:space="10" w:color="auto"/>
        </w:pBdr>
      </w:pPr>
      <w:r w:rsidRPr="00E56901">
        <w:t xml:space="preserve">Lot 1 would be </w:t>
      </w:r>
      <w:r w:rsidR="00BB2F9D">
        <w:t>“</w:t>
      </w:r>
      <w:r w:rsidRPr="00E56901">
        <w:t>residential land</w:t>
      </w:r>
      <w:r w:rsidR="00BB2F9D">
        <w:t>”</w:t>
      </w:r>
      <w:r w:rsidRPr="00E56901">
        <w:t xml:space="preserve"> and Bob would be subject to the bright-line</w:t>
      </w:r>
      <w:r w:rsidR="00EA3A00">
        <w:t xml:space="preserve"> test</w:t>
      </w:r>
      <w:r w:rsidRPr="00E56901">
        <w:t xml:space="preserve"> as there is an arrangement to build a dwelling on it</w:t>
      </w:r>
      <w:r w:rsidR="00BB2F9D">
        <w:t>,</w:t>
      </w:r>
      <w:r w:rsidRPr="00E56901">
        <w:t xml:space="preserve"> and because it is bare land</w:t>
      </w:r>
      <w:r w:rsidR="00BB2F9D">
        <w:t>,</w:t>
      </w:r>
      <w:r w:rsidRPr="00E56901">
        <w:t xml:space="preserve"> that due to its area and nature is capable of having a dwelling on it.</w:t>
      </w:r>
    </w:p>
    <w:p w:rsidR="00E56901" w:rsidRPr="00E5747E" w:rsidRDefault="00E56901" w:rsidP="00CD6CCB"/>
    <w:p w:rsidR="00E5747E" w:rsidRDefault="00E5747E">
      <w:pPr>
        <w:jc w:val="left"/>
        <w:rPr>
          <w:b/>
        </w:rPr>
      </w:pPr>
      <w:r>
        <w:rPr>
          <w:b/>
        </w:rPr>
        <w:br w:type="page"/>
      </w:r>
    </w:p>
    <w:p w:rsidR="00CD6CCB" w:rsidRDefault="00CD6CCB" w:rsidP="00CD6CCB">
      <w:pPr>
        <w:rPr>
          <w:b/>
        </w:rPr>
      </w:pPr>
      <w:r w:rsidRPr="00C720AB">
        <w:rPr>
          <w:b/>
        </w:rPr>
        <w:t>Farmland</w:t>
      </w:r>
    </w:p>
    <w:p w:rsidR="00DD7ABC" w:rsidRDefault="00DD7ABC" w:rsidP="00CD6CCB"/>
    <w:p w:rsidR="00CD6CCB" w:rsidRPr="00961890" w:rsidRDefault="00E56901" w:rsidP="00CD6CCB">
      <w:r w:rsidRPr="00961890">
        <w:t>Farmland is land that b</w:t>
      </w:r>
      <w:r w:rsidR="00961890" w:rsidRPr="00961890">
        <w:t>ecause of its area and nature is capable of being worked as an economic unit as a farming or agricultural business.</w:t>
      </w:r>
    </w:p>
    <w:p w:rsidR="00961890" w:rsidRPr="00E5747E" w:rsidRDefault="00961890" w:rsidP="00CD6CCB"/>
    <w:p w:rsidR="00CD6CCB" w:rsidRDefault="00CD6CCB" w:rsidP="00B62F4D">
      <w:pPr>
        <w:pBdr>
          <w:top w:val="single" w:sz="4" w:space="10" w:color="auto"/>
          <w:left w:val="single" w:sz="4" w:space="10" w:color="auto"/>
          <w:bottom w:val="single" w:sz="4" w:space="10" w:color="auto"/>
          <w:right w:val="single" w:sz="4" w:space="10" w:color="auto"/>
        </w:pBdr>
        <w:rPr>
          <w:b/>
          <w:i/>
        </w:rPr>
      </w:pPr>
      <w:r w:rsidRPr="00CD6CCB">
        <w:rPr>
          <w:b/>
          <w:i/>
        </w:rPr>
        <w:t>Land that because of its nature is not capable of being used as farmland</w:t>
      </w:r>
    </w:p>
    <w:p w:rsidR="00CD6CCB" w:rsidRPr="00F45904" w:rsidRDefault="00CD6CCB" w:rsidP="00B62F4D">
      <w:pPr>
        <w:pBdr>
          <w:top w:val="single" w:sz="4" w:space="10" w:color="auto"/>
          <w:left w:val="single" w:sz="4" w:space="10" w:color="auto"/>
          <w:bottom w:val="single" w:sz="4" w:space="10" w:color="auto"/>
          <w:right w:val="single" w:sz="4" w:space="10" w:color="auto"/>
        </w:pBdr>
      </w:pPr>
    </w:p>
    <w:p w:rsidR="00CD6CCB" w:rsidRDefault="00CD6CCB" w:rsidP="00B62F4D">
      <w:pPr>
        <w:pBdr>
          <w:top w:val="single" w:sz="4" w:space="10" w:color="auto"/>
          <w:left w:val="single" w:sz="4" w:space="10" w:color="auto"/>
          <w:bottom w:val="single" w:sz="4" w:space="10" w:color="auto"/>
          <w:right w:val="single" w:sz="4" w:space="10" w:color="auto"/>
        </w:pBdr>
      </w:pPr>
      <w:r w:rsidRPr="005E2810">
        <w:t>Tina owns a 50 hectare plot of land</w:t>
      </w:r>
      <w:r w:rsidR="00F16E3E">
        <w:t>.  T</w:t>
      </w:r>
      <w:r w:rsidRPr="005E2810">
        <w:t>he land is</w:t>
      </w:r>
      <w:r w:rsidR="00524124">
        <w:t xml:space="preserve"> covered in</w:t>
      </w:r>
      <w:r w:rsidRPr="005E2810">
        <w:t xml:space="preserve"> gorse.</w:t>
      </w:r>
    </w:p>
    <w:p w:rsidR="00524124" w:rsidRPr="005E2810" w:rsidRDefault="00524124" w:rsidP="00B62F4D">
      <w:pPr>
        <w:pBdr>
          <w:top w:val="single" w:sz="4" w:space="10" w:color="auto"/>
          <w:left w:val="single" w:sz="4" w:space="10" w:color="auto"/>
          <w:bottom w:val="single" w:sz="4" w:space="10" w:color="auto"/>
          <w:right w:val="single" w:sz="4" w:space="10" w:color="auto"/>
        </w:pBdr>
      </w:pPr>
    </w:p>
    <w:p w:rsidR="00CD6CCB" w:rsidRDefault="00CD6CCB" w:rsidP="00B62F4D">
      <w:pPr>
        <w:pBdr>
          <w:top w:val="single" w:sz="4" w:space="10" w:color="auto"/>
          <w:left w:val="single" w:sz="4" w:space="10" w:color="auto"/>
          <w:bottom w:val="single" w:sz="4" w:space="10" w:color="auto"/>
          <w:right w:val="single" w:sz="4" w:space="10" w:color="auto"/>
        </w:pBdr>
      </w:pPr>
      <w:r w:rsidRPr="005E2810">
        <w:t>The land is not farmland as it is not currently capable of being used for farming purposes.</w:t>
      </w:r>
    </w:p>
    <w:p w:rsidR="00CD6CCB" w:rsidRDefault="00CD6CCB" w:rsidP="00CD6CCB"/>
    <w:p w:rsidR="00CD6CCB" w:rsidRDefault="00CD6CCB" w:rsidP="00B62F4D">
      <w:pPr>
        <w:pBdr>
          <w:top w:val="single" w:sz="4" w:space="10" w:color="auto"/>
          <w:left w:val="single" w:sz="4" w:space="10" w:color="auto"/>
          <w:bottom w:val="single" w:sz="4" w:space="10" w:color="auto"/>
          <w:right w:val="single" w:sz="4" w:space="10" w:color="auto"/>
        </w:pBdr>
        <w:rPr>
          <w:b/>
          <w:i/>
        </w:rPr>
      </w:pPr>
      <w:r w:rsidRPr="00CD6CCB">
        <w:rPr>
          <w:b/>
          <w:i/>
        </w:rPr>
        <w:t xml:space="preserve">Land that because of its area is not capable of being used as farmland </w:t>
      </w:r>
    </w:p>
    <w:p w:rsidR="00CD6CCB" w:rsidRPr="00F45904" w:rsidRDefault="00CD6CCB" w:rsidP="00B62F4D">
      <w:pPr>
        <w:pBdr>
          <w:top w:val="single" w:sz="4" w:space="10" w:color="auto"/>
          <w:left w:val="single" w:sz="4" w:space="10" w:color="auto"/>
          <w:bottom w:val="single" w:sz="4" w:space="10" w:color="auto"/>
          <w:right w:val="single" w:sz="4" w:space="10" w:color="auto"/>
        </w:pBdr>
      </w:pPr>
    </w:p>
    <w:p w:rsidR="00CD6CCB" w:rsidRDefault="00524124" w:rsidP="00B62F4D">
      <w:pPr>
        <w:pBdr>
          <w:top w:val="single" w:sz="4" w:space="10" w:color="auto"/>
          <w:left w:val="single" w:sz="4" w:space="10" w:color="auto"/>
          <w:bottom w:val="single" w:sz="4" w:space="10" w:color="auto"/>
          <w:right w:val="single" w:sz="4" w:space="10" w:color="auto"/>
        </w:pBdr>
      </w:pPr>
      <w:proofErr w:type="spellStart"/>
      <w:r>
        <w:t>Marama</w:t>
      </w:r>
      <w:proofErr w:type="spellEnd"/>
      <w:r>
        <w:t xml:space="preserve"> purchases a lifestyle block with a house and a small area of farmland</w:t>
      </w:r>
      <w:r w:rsidR="00F16E3E">
        <w:t>.  A</w:t>
      </w:r>
      <w:r>
        <w:t xml:space="preserve"> small number of sheep are kept on the land to keep the grass down.</w:t>
      </w:r>
    </w:p>
    <w:p w:rsidR="00524124" w:rsidRDefault="00524124" w:rsidP="00B62F4D">
      <w:pPr>
        <w:pBdr>
          <w:top w:val="single" w:sz="4" w:space="10" w:color="auto"/>
          <w:left w:val="single" w:sz="4" w:space="10" w:color="auto"/>
          <w:bottom w:val="single" w:sz="4" w:space="10" w:color="auto"/>
          <w:right w:val="single" w:sz="4" w:space="10" w:color="auto"/>
        </w:pBdr>
      </w:pPr>
    </w:p>
    <w:p w:rsidR="00524124" w:rsidRDefault="00524124" w:rsidP="00B62F4D">
      <w:pPr>
        <w:pBdr>
          <w:top w:val="single" w:sz="4" w:space="10" w:color="auto"/>
          <w:left w:val="single" w:sz="4" w:space="10" w:color="auto"/>
          <w:bottom w:val="single" w:sz="4" w:space="10" w:color="auto"/>
          <w:right w:val="single" w:sz="4" w:space="10" w:color="auto"/>
        </w:pBdr>
      </w:pPr>
      <w:r>
        <w:t>The farming exclusion will not apply as the land is not capable of being worked as an economic unit as a farming business</w:t>
      </w:r>
      <w:r w:rsidR="00F16E3E">
        <w:t>.  I</w:t>
      </w:r>
      <w:r>
        <w:t>t is a hobby farm rather than a genuine farming business.</w:t>
      </w:r>
    </w:p>
    <w:p w:rsidR="00524124" w:rsidRDefault="00524124" w:rsidP="00B62F4D">
      <w:pPr>
        <w:pBdr>
          <w:top w:val="single" w:sz="4" w:space="10" w:color="auto"/>
          <w:left w:val="single" w:sz="4" w:space="10" w:color="auto"/>
          <w:bottom w:val="single" w:sz="4" w:space="10" w:color="auto"/>
          <w:right w:val="single" w:sz="4" w:space="10" w:color="auto"/>
        </w:pBdr>
      </w:pPr>
    </w:p>
    <w:p w:rsidR="00524124" w:rsidRDefault="00524124" w:rsidP="00B62F4D">
      <w:pPr>
        <w:pBdr>
          <w:top w:val="single" w:sz="4" w:space="10" w:color="auto"/>
          <w:left w:val="single" w:sz="4" w:space="10" w:color="auto"/>
          <w:bottom w:val="single" w:sz="4" w:space="10" w:color="auto"/>
          <w:right w:val="single" w:sz="4" w:space="10" w:color="auto"/>
        </w:pBdr>
      </w:pPr>
      <w:r>
        <w:t>If the area of farmland was larger and capable of being used as an economic unit for farming purposes, it would likely be covered by the farming exclusion.</w:t>
      </w:r>
    </w:p>
    <w:p w:rsidR="00CD6CCB" w:rsidRDefault="00CD6CCB" w:rsidP="00CD6CCB"/>
    <w:p w:rsidR="00CD6CCB" w:rsidRPr="00CD6CCB" w:rsidRDefault="00CD6CCB" w:rsidP="00B62F4D">
      <w:pPr>
        <w:pBdr>
          <w:top w:val="single" w:sz="4" w:space="10" w:color="auto"/>
          <w:left w:val="single" w:sz="4" w:space="10" w:color="auto"/>
          <w:bottom w:val="single" w:sz="4" w:space="10" w:color="auto"/>
          <w:right w:val="single" w:sz="4" w:space="10" w:color="auto"/>
        </w:pBdr>
        <w:rPr>
          <w:b/>
          <w:i/>
        </w:rPr>
      </w:pPr>
      <w:r w:rsidRPr="00CD6CCB">
        <w:rPr>
          <w:b/>
          <w:i/>
        </w:rPr>
        <w:t>Small plot of land that is farmland</w:t>
      </w:r>
    </w:p>
    <w:p w:rsidR="00CD6CCB" w:rsidRPr="00F45904" w:rsidRDefault="00CD6CCB" w:rsidP="00B62F4D">
      <w:pPr>
        <w:pBdr>
          <w:top w:val="single" w:sz="4" w:space="10" w:color="auto"/>
          <w:left w:val="single" w:sz="4" w:space="10" w:color="auto"/>
          <w:bottom w:val="single" w:sz="4" w:space="10" w:color="auto"/>
          <w:right w:val="single" w:sz="4" w:space="10" w:color="auto"/>
        </w:pBdr>
      </w:pPr>
    </w:p>
    <w:p w:rsidR="00CD6CCB" w:rsidRDefault="00CD6CCB" w:rsidP="00B62F4D">
      <w:pPr>
        <w:pBdr>
          <w:top w:val="single" w:sz="4" w:space="10" w:color="auto"/>
          <w:left w:val="single" w:sz="4" w:space="10" w:color="auto"/>
          <w:bottom w:val="single" w:sz="4" w:space="10" w:color="auto"/>
          <w:right w:val="single" w:sz="4" w:space="10" w:color="auto"/>
        </w:pBdr>
      </w:pPr>
      <w:r w:rsidRPr="005E2810">
        <w:t>Uri has a 5 hectare plot of land that is suitable for use as a rose farm.</w:t>
      </w:r>
    </w:p>
    <w:p w:rsidR="00CD6CCB" w:rsidRPr="005E2810" w:rsidRDefault="00CD6CCB" w:rsidP="00B62F4D">
      <w:pPr>
        <w:pBdr>
          <w:top w:val="single" w:sz="4" w:space="10" w:color="auto"/>
          <w:left w:val="single" w:sz="4" w:space="10" w:color="auto"/>
          <w:bottom w:val="single" w:sz="4" w:space="10" w:color="auto"/>
          <w:right w:val="single" w:sz="4" w:space="10" w:color="auto"/>
        </w:pBdr>
      </w:pPr>
    </w:p>
    <w:p w:rsidR="00CD6CCB" w:rsidRDefault="00CD6CCB" w:rsidP="00B62F4D">
      <w:pPr>
        <w:pBdr>
          <w:top w:val="single" w:sz="4" w:space="10" w:color="auto"/>
          <w:left w:val="single" w:sz="4" w:space="10" w:color="auto"/>
          <w:bottom w:val="single" w:sz="4" w:space="10" w:color="auto"/>
          <w:right w:val="single" w:sz="4" w:space="10" w:color="auto"/>
        </w:pBdr>
      </w:pPr>
      <w:r w:rsidRPr="005E2810">
        <w:t>This land is farmland as it is currently capable of being used as an economic unit for farming purposes.</w:t>
      </w:r>
    </w:p>
    <w:p w:rsidR="00197F05" w:rsidRPr="005E2810" w:rsidRDefault="00197F05" w:rsidP="00CD6CCB"/>
    <w:p w:rsidR="00CD6CCB" w:rsidRDefault="00CD6CCB" w:rsidP="00CD6CCB">
      <w:pPr>
        <w:rPr>
          <w:b/>
        </w:rPr>
      </w:pPr>
      <w:r w:rsidRPr="0095496F">
        <w:rPr>
          <w:b/>
        </w:rPr>
        <w:t>Business premises</w:t>
      </w:r>
    </w:p>
    <w:p w:rsidR="00524124" w:rsidRPr="00E5747E" w:rsidRDefault="00524124" w:rsidP="00CD6CCB"/>
    <w:p w:rsidR="00CD6CCB" w:rsidRPr="00CD6CCB" w:rsidRDefault="00CD6CCB" w:rsidP="00B62F4D">
      <w:pPr>
        <w:pBdr>
          <w:top w:val="single" w:sz="4" w:space="10" w:color="auto"/>
          <w:left w:val="single" w:sz="4" w:space="10" w:color="auto"/>
          <w:bottom w:val="single" w:sz="4" w:space="10" w:color="auto"/>
          <w:right w:val="single" w:sz="4" w:space="10" w:color="auto"/>
        </w:pBdr>
        <w:rPr>
          <w:b/>
          <w:i/>
        </w:rPr>
      </w:pPr>
      <w:r w:rsidRPr="00CD6CCB">
        <w:rPr>
          <w:b/>
          <w:i/>
        </w:rPr>
        <w:t>Bed and breakfast</w:t>
      </w:r>
    </w:p>
    <w:p w:rsidR="00CD6CCB" w:rsidRDefault="00CD6CCB" w:rsidP="00B62F4D">
      <w:pPr>
        <w:pBdr>
          <w:top w:val="single" w:sz="4" w:space="10" w:color="auto"/>
          <w:left w:val="single" w:sz="4" w:space="10" w:color="auto"/>
          <w:bottom w:val="single" w:sz="4" w:space="10" w:color="auto"/>
          <w:right w:val="single" w:sz="4" w:space="10" w:color="auto"/>
        </w:pBdr>
      </w:pPr>
    </w:p>
    <w:p w:rsidR="00CD6CCB" w:rsidRDefault="00CD6CCB" w:rsidP="00B62F4D">
      <w:pPr>
        <w:pBdr>
          <w:top w:val="single" w:sz="4" w:space="10" w:color="auto"/>
          <w:left w:val="single" w:sz="4" w:space="10" w:color="auto"/>
          <w:bottom w:val="single" w:sz="4" w:space="10" w:color="auto"/>
          <w:right w:val="single" w:sz="4" w:space="10" w:color="auto"/>
        </w:pBdr>
      </w:pPr>
      <w:r w:rsidRPr="005E2810">
        <w:t>Mary owns a bed and breakfast</w:t>
      </w:r>
      <w:r w:rsidR="00F16E3E">
        <w:t>.  M</w:t>
      </w:r>
      <w:r w:rsidRPr="005E2810">
        <w:t xml:space="preserve">ary provides </w:t>
      </w:r>
      <w:r w:rsidR="00524124">
        <w:t>meals</w:t>
      </w:r>
      <w:r w:rsidRPr="005E2810">
        <w:t xml:space="preserve"> to the residents, room service and cleans the rooms she lets out every day.</w:t>
      </w:r>
    </w:p>
    <w:p w:rsidR="00CD6CCB" w:rsidRPr="005E2810" w:rsidRDefault="00CD6CCB" w:rsidP="00B62F4D">
      <w:pPr>
        <w:pBdr>
          <w:top w:val="single" w:sz="4" w:space="10" w:color="auto"/>
          <w:left w:val="single" w:sz="4" w:space="10" w:color="auto"/>
          <w:bottom w:val="single" w:sz="4" w:space="10" w:color="auto"/>
          <w:right w:val="single" w:sz="4" w:space="10" w:color="auto"/>
        </w:pBdr>
      </w:pPr>
    </w:p>
    <w:p w:rsidR="00CD6CCB" w:rsidRPr="00B632EC" w:rsidRDefault="00CD6CCB" w:rsidP="00B62F4D">
      <w:pPr>
        <w:pBdr>
          <w:top w:val="single" w:sz="4" w:space="10" w:color="auto"/>
          <w:left w:val="single" w:sz="4" w:space="10" w:color="auto"/>
          <w:bottom w:val="single" w:sz="4" w:space="10" w:color="auto"/>
          <w:right w:val="single" w:sz="4" w:space="10" w:color="auto"/>
        </w:pBdr>
      </w:pPr>
      <w:r w:rsidRPr="005E2810">
        <w:t>The land has a dwelling on it so meets the first criteria for residential land</w:t>
      </w:r>
      <w:r w:rsidR="00F16E3E">
        <w:t>.  H</w:t>
      </w:r>
      <w:r w:rsidRPr="005E2810">
        <w:t xml:space="preserve">owever, the land would not be </w:t>
      </w:r>
      <w:r w:rsidR="00BB2F9D">
        <w:t>“</w:t>
      </w:r>
      <w:r w:rsidRPr="005E2810">
        <w:t>residential</w:t>
      </w:r>
      <w:r w:rsidR="00BB2F9D">
        <w:t xml:space="preserve"> land”</w:t>
      </w:r>
      <w:r w:rsidRPr="005E2810">
        <w:t xml:space="preserve"> as the land is used predominantly as the business premises for the bed and breakfast.</w:t>
      </w:r>
    </w:p>
    <w:p w:rsidR="00E5747E" w:rsidRDefault="00E5747E">
      <w:pPr>
        <w:jc w:val="left"/>
        <w:rPr>
          <w:b/>
        </w:rPr>
      </w:pPr>
      <w:r>
        <w:rPr>
          <w:b/>
        </w:rPr>
        <w:br w:type="page"/>
      </w:r>
    </w:p>
    <w:p w:rsidR="00CD6CCB" w:rsidRPr="00CD6CCB" w:rsidRDefault="00CD6CCB" w:rsidP="00B62F4D">
      <w:pPr>
        <w:pBdr>
          <w:top w:val="single" w:sz="4" w:space="10" w:color="auto"/>
          <w:left w:val="single" w:sz="4" w:space="10" w:color="auto"/>
          <w:bottom w:val="single" w:sz="4" w:space="10" w:color="auto"/>
          <w:right w:val="single" w:sz="4" w:space="10" w:color="auto"/>
        </w:pBdr>
        <w:rPr>
          <w:b/>
          <w:i/>
        </w:rPr>
      </w:pPr>
      <w:r w:rsidRPr="00CD6CCB">
        <w:rPr>
          <w:b/>
          <w:i/>
        </w:rPr>
        <w:t>Worker</w:t>
      </w:r>
      <w:r w:rsidR="00524124">
        <w:rPr>
          <w:b/>
          <w:i/>
        </w:rPr>
        <w:t>’</w:t>
      </w:r>
      <w:r w:rsidRPr="00CD6CCB">
        <w:rPr>
          <w:b/>
          <w:i/>
        </w:rPr>
        <w:t>s quarters</w:t>
      </w:r>
    </w:p>
    <w:p w:rsidR="00CD6CCB" w:rsidRPr="00E5747E" w:rsidRDefault="00CD6CCB" w:rsidP="00B62F4D">
      <w:pPr>
        <w:pBdr>
          <w:top w:val="single" w:sz="4" w:space="10" w:color="auto"/>
          <w:left w:val="single" w:sz="4" w:space="10" w:color="auto"/>
          <w:bottom w:val="single" w:sz="4" w:space="10" w:color="auto"/>
          <w:right w:val="single" w:sz="4" w:space="10" w:color="auto"/>
        </w:pBdr>
      </w:pPr>
    </w:p>
    <w:p w:rsidR="00CD6CCB" w:rsidRPr="004F2791" w:rsidRDefault="00CD6CCB" w:rsidP="00B62F4D">
      <w:pPr>
        <w:pBdr>
          <w:top w:val="single" w:sz="4" w:space="10" w:color="auto"/>
          <w:left w:val="single" w:sz="4" w:space="10" w:color="auto"/>
          <w:bottom w:val="single" w:sz="4" w:space="10" w:color="auto"/>
          <w:right w:val="single" w:sz="4" w:space="10" w:color="auto"/>
        </w:pBdr>
      </w:pPr>
      <w:r w:rsidRPr="004F2791">
        <w:t>Steve owns land which contains a factory which</w:t>
      </w:r>
      <w:r w:rsidR="00A051E6">
        <w:t xml:space="preserve"> is used to process food</w:t>
      </w:r>
      <w:r w:rsidR="00F16E3E">
        <w:t>.  T</w:t>
      </w:r>
      <w:r w:rsidRPr="004F2791">
        <w:t>he land also has workers</w:t>
      </w:r>
      <w:r w:rsidR="00610822">
        <w:t>’</w:t>
      </w:r>
      <w:r w:rsidRPr="004F2791">
        <w:t xml:space="preserve"> quarters on it</w:t>
      </w:r>
      <w:r w:rsidR="00BB2F9D">
        <w:t>,</w:t>
      </w:r>
      <w:r w:rsidRPr="004F2791">
        <w:t xml:space="preserve"> which Steve provides to his employees to use as residences.</w:t>
      </w:r>
    </w:p>
    <w:p w:rsidR="00CD6CCB" w:rsidRPr="004F2791" w:rsidRDefault="00CD6CCB" w:rsidP="00B62F4D">
      <w:pPr>
        <w:pBdr>
          <w:top w:val="single" w:sz="4" w:space="10" w:color="auto"/>
          <w:left w:val="single" w:sz="4" w:space="10" w:color="auto"/>
          <w:bottom w:val="single" w:sz="4" w:space="10" w:color="auto"/>
          <w:right w:val="single" w:sz="4" w:space="10" w:color="auto"/>
        </w:pBdr>
      </w:pPr>
    </w:p>
    <w:p w:rsidR="00CD6CCB" w:rsidRPr="004F2791" w:rsidRDefault="00CD6CCB" w:rsidP="00B62F4D">
      <w:pPr>
        <w:pBdr>
          <w:top w:val="single" w:sz="4" w:space="10" w:color="auto"/>
          <w:left w:val="single" w:sz="4" w:space="10" w:color="auto"/>
          <w:bottom w:val="single" w:sz="4" w:space="10" w:color="auto"/>
          <w:right w:val="single" w:sz="4" w:space="10" w:color="auto"/>
        </w:pBdr>
      </w:pPr>
      <w:r w:rsidRPr="004F2791">
        <w:t>The land is used predomina</w:t>
      </w:r>
      <w:r w:rsidR="00BB2F9D">
        <w:t>ntly</w:t>
      </w:r>
      <w:r w:rsidRPr="004F2791">
        <w:t xml:space="preserve"> as business premises and so is entitled to the business premises exception.</w:t>
      </w:r>
    </w:p>
    <w:p w:rsidR="00CD6CCB" w:rsidRPr="005E2810" w:rsidRDefault="00CD6CCB" w:rsidP="00CD6CCB"/>
    <w:p w:rsidR="00CD6CCB" w:rsidRPr="00CD6CCB" w:rsidRDefault="00CD6CCB" w:rsidP="00B62F4D">
      <w:pPr>
        <w:pBdr>
          <w:top w:val="single" w:sz="4" w:space="10" w:color="auto"/>
          <w:left w:val="single" w:sz="4" w:space="10" w:color="auto"/>
          <w:bottom w:val="single" w:sz="4" w:space="10" w:color="auto"/>
          <w:right w:val="single" w:sz="4" w:space="10" w:color="auto"/>
        </w:pBdr>
        <w:rPr>
          <w:b/>
          <w:i/>
        </w:rPr>
      </w:pPr>
      <w:r w:rsidRPr="00CD6CCB">
        <w:rPr>
          <w:b/>
          <w:i/>
        </w:rPr>
        <w:t>Empty factory</w:t>
      </w:r>
    </w:p>
    <w:p w:rsidR="00CD6CCB" w:rsidRPr="00E5747E" w:rsidRDefault="00CD6CCB" w:rsidP="00B62F4D">
      <w:pPr>
        <w:pBdr>
          <w:top w:val="single" w:sz="4" w:space="10" w:color="auto"/>
          <w:left w:val="single" w:sz="4" w:space="10" w:color="auto"/>
          <w:bottom w:val="single" w:sz="4" w:space="10" w:color="auto"/>
          <w:right w:val="single" w:sz="4" w:space="10" w:color="auto"/>
        </w:pBdr>
      </w:pPr>
    </w:p>
    <w:p w:rsidR="00CD6CCB" w:rsidRPr="0078475F" w:rsidRDefault="00CD6CCB" w:rsidP="00B62F4D">
      <w:pPr>
        <w:pBdr>
          <w:top w:val="single" w:sz="4" w:space="10" w:color="auto"/>
          <w:left w:val="single" w:sz="4" w:space="10" w:color="auto"/>
          <w:bottom w:val="single" w:sz="4" w:space="10" w:color="auto"/>
          <w:right w:val="single" w:sz="4" w:space="10" w:color="auto"/>
        </w:pBdr>
      </w:pPr>
      <w:r w:rsidRPr="0078475F">
        <w:t>Velma purchases an empty factory which she plans to deve</w:t>
      </w:r>
      <w:r w:rsidR="00F831BC">
        <w:t>lop into an apartment building.</w:t>
      </w:r>
    </w:p>
    <w:p w:rsidR="00CD6CCB" w:rsidRPr="0078475F" w:rsidRDefault="00CD6CCB" w:rsidP="00B62F4D">
      <w:pPr>
        <w:pBdr>
          <w:top w:val="single" w:sz="4" w:space="10" w:color="auto"/>
          <w:left w:val="single" w:sz="4" w:space="10" w:color="auto"/>
          <w:bottom w:val="single" w:sz="4" w:space="10" w:color="auto"/>
          <w:right w:val="single" w:sz="4" w:space="10" w:color="auto"/>
        </w:pBdr>
      </w:pPr>
    </w:p>
    <w:p w:rsidR="00CD6CCB" w:rsidRPr="0078475F" w:rsidRDefault="00CD6CCB" w:rsidP="00B62F4D">
      <w:pPr>
        <w:pBdr>
          <w:top w:val="single" w:sz="4" w:space="10" w:color="auto"/>
          <w:left w:val="single" w:sz="4" w:space="10" w:color="auto"/>
          <w:bottom w:val="single" w:sz="4" w:space="10" w:color="auto"/>
          <w:right w:val="single" w:sz="4" w:space="10" w:color="auto"/>
        </w:pBdr>
      </w:pPr>
      <w:r w:rsidRPr="0078475F">
        <w:t xml:space="preserve">Before beginning construction Velma receives a good offer for the </w:t>
      </w:r>
      <w:r w:rsidR="00524124" w:rsidRPr="0078475F">
        <w:t>building</w:t>
      </w:r>
      <w:r w:rsidR="00F831BC">
        <w:t xml:space="preserve"> and sells it to William.</w:t>
      </w:r>
    </w:p>
    <w:p w:rsidR="00CD6CCB" w:rsidRPr="0078475F" w:rsidRDefault="00CD6CCB" w:rsidP="00B62F4D">
      <w:pPr>
        <w:pBdr>
          <w:top w:val="single" w:sz="4" w:space="10" w:color="auto"/>
          <w:left w:val="single" w:sz="4" w:space="10" w:color="auto"/>
          <w:bottom w:val="single" w:sz="4" w:space="10" w:color="auto"/>
          <w:right w:val="single" w:sz="4" w:space="10" w:color="auto"/>
        </w:pBdr>
      </w:pPr>
    </w:p>
    <w:p w:rsidR="00CD6CCB" w:rsidRPr="0078475F" w:rsidRDefault="00CD6CCB" w:rsidP="00B62F4D">
      <w:pPr>
        <w:pBdr>
          <w:top w:val="single" w:sz="4" w:space="10" w:color="auto"/>
          <w:left w:val="single" w:sz="4" w:space="10" w:color="auto"/>
          <w:bottom w:val="single" w:sz="4" w:space="10" w:color="auto"/>
          <w:right w:val="single" w:sz="4" w:space="10" w:color="auto"/>
        </w:pBdr>
      </w:pPr>
      <w:r w:rsidRPr="0078475F">
        <w:t>Velma has an arrangement to put a dwelling on the land and so meets the first criteria for residential land</w:t>
      </w:r>
      <w:r w:rsidR="00F16E3E">
        <w:t>.  T</w:t>
      </w:r>
      <w:r w:rsidRPr="0078475F">
        <w:t>he land does not qualify for the business premises exclusion as it is empty and not being used as business premises</w:t>
      </w:r>
      <w:r w:rsidR="00677EE9" w:rsidRPr="0078475F">
        <w:t xml:space="preserve"> at the time of disposal</w:t>
      </w:r>
      <w:r w:rsidR="00F16E3E">
        <w:t>.  A</w:t>
      </w:r>
      <w:r w:rsidRPr="0078475F">
        <w:t xml:space="preserve">s a result the land is </w:t>
      </w:r>
      <w:r w:rsidR="00BB2F9D">
        <w:t>“</w:t>
      </w:r>
      <w:r w:rsidRPr="0078475F">
        <w:t>resid</w:t>
      </w:r>
      <w:r w:rsidR="00677EE9" w:rsidRPr="0078475F">
        <w:t>ential land</w:t>
      </w:r>
      <w:r w:rsidR="00BB2F9D">
        <w:t>”</w:t>
      </w:r>
      <w:r w:rsidR="00677EE9" w:rsidRPr="0078475F">
        <w:t xml:space="preserve"> and potentially subject to the bright-line test.</w:t>
      </w:r>
    </w:p>
    <w:p w:rsidR="00CD6CCB" w:rsidRDefault="00CD6CCB" w:rsidP="00CD6CCB"/>
    <w:p w:rsidR="00F8617F" w:rsidRPr="009B557D" w:rsidRDefault="00F8617F" w:rsidP="00F8617F">
      <w:pPr>
        <w:rPr>
          <w:i/>
        </w:rPr>
      </w:pPr>
      <w:r w:rsidRPr="009B557D">
        <w:rPr>
          <w:i/>
        </w:rPr>
        <w:t xml:space="preserve">Recommended amendments to </w:t>
      </w:r>
      <w:r>
        <w:rPr>
          <w:i/>
        </w:rPr>
        <w:t>definition of residential land</w:t>
      </w:r>
    </w:p>
    <w:p w:rsidR="00F8617F" w:rsidRPr="00E5747E" w:rsidRDefault="00F8617F" w:rsidP="00F8617F"/>
    <w:p w:rsidR="00F8617F" w:rsidRDefault="00F8617F" w:rsidP="00CD6CCB">
      <w:r>
        <w:t xml:space="preserve">We are recommending changes to the definition of </w:t>
      </w:r>
      <w:r w:rsidR="007413B6">
        <w:t>“residential land”</w:t>
      </w:r>
      <w:r>
        <w:t xml:space="preserve"> (see </w:t>
      </w:r>
      <w:r w:rsidRPr="009B557D">
        <w:rPr>
          <w:i/>
        </w:rPr>
        <w:t xml:space="preserve">Issue: </w:t>
      </w:r>
      <w:proofErr w:type="gramStart"/>
      <w:r w:rsidRPr="009B557D">
        <w:rPr>
          <w:i/>
        </w:rPr>
        <w:t>Farmland</w:t>
      </w:r>
      <w:r>
        <w:t>,</w:t>
      </w:r>
      <w:proofErr w:type="gramEnd"/>
      <w:r>
        <w:t xml:space="preserve"> and </w:t>
      </w:r>
      <w:r w:rsidRPr="009B557D">
        <w:rPr>
          <w:i/>
        </w:rPr>
        <w:t>Issue: Bare land</w:t>
      </w:r>
      <w:r>
        <w:t>)</w:t>
      </w:r>
      <w:r w:rsidR="00F16E3E">
        <w:t>.  I</w:t>
      </w:r>
      <w:r>
        <w:t>n the example scenarios provided above we do not believe the recommended chan</w:t>
      </w:r>
      <w:r w:rsidR="008732B5">
        <w:t>ges would affect the end result.</w:t>
      </w:r>
    </w:p>
    <w:p w:rsidR="00F8617F" w:rsidRPr="005E2810" w:rsidRDefault="00F8617F" w:rsidP="00CD6CCB"/>
    <w:p w:rsidR="00677EE9" w:rsidRDefault="00CD6CCB" w:rsidP="00CD6CCB">
      <w:pPr>
        <w:rPr>
          <w:b/>
        </w:rPr>
      </w:pPr>
      <w:r w:rsidRPr="00B632EC">
        <w:rPr>
          <w:b/>
        </w:rPr>
        <w:t>Main home</w:t>
      </w:r>
    </w:p>
    <w:p w:rsidR="00CD6CCB" w:rsidRPr="00E5747E" w:rsidRDefault="00CD6CCB" w:rsidP="00CD6CCB"/>
    <w:p w:rsidR="00CD6CCB" w:rsidRDefault="00CD6CCB" w:rsidP="00CD6CCB">
      <w:r>
        <w:t>The bright-line test will not apply to the disposal of a person’s main home.</w:t>
      </w:r>
    </w:p>
    <w:p w:rsidR="00677EE9" w:rsidRDefault="00677EE9" w:rsidP="00CD6CCB"/>
    <w:p w:rsidR="00CD6CCB" w:rsidRDefault="00CD6CCB" w:rsidP="00CD6CCB">
      <w:r>
        <w:t xml:space="preserve">To utilise the main home exception </w:t>
      </w:r>
      <w:r w:rsidR="00EA3A00">
        <w:t>a person must have used most of the land as their main home for the majority of time they have owned the land.</w:t>
      </w:r>
    </w:p>
    <w:p w:rsidR="00CD6CCB" w:rsidRPr="005E2810" w:rsidRDefault="00CD6CCB" w:rsidP="00CD6CCB"/>
    <w:p w:rsidR="00CD6CCB" w:rsidRDefault="00CD6CCB" w:rsidP="00B62F4D">
      <w:pPr>
        <w:pStyle w:val="BodyText"/>
        <w:pBdr>
          <w:top w:val="single" w:sz="4" w:space="10" w:color="auto"/>
          <w:left w:val="single" w:sz="4" w:space="10" w:color="auto"/>
          <w:bottom w:val="single" w:sz="4" w:space="10" w:color="auto"/>
          <w:right w:val="single" w:sz="4" w:space="10" w:color="auto"/>
        </w:pBdr>
        <w:rPr>
          <w:b/>
          <w:bCs/>
          <w:i/>
          <w:iCs/>
        </w:rPr>
      </w:pPr>
      <w:r w:rsidRPr="005E2810">
        <w:rPr>
          <w:b/>
          <w:bCs/>
          <w:i/>
          <w:iCs/>
        </w:rPr>
        <w:t>Multiple dwellings</w:t>
      </w:r>
    </w:p>
    <w:p w:rsidR="00CD6CCB" w:rsidRPr="005E2810" w:rsidRDefault="00CD6CCB" w:rsidP="00B62F4D">
      <w:pPr>
        <w:pStyle w:val="BodyText"/>
        <w:pBdr>
          <w:top w:val="single" w:sz="4" w:space="10" w:color="auto"/>
          <w:left w:val="single" w:sz="4" w:space="10" w:color="auto"/>
          <w:bottom w:val="single" w:sz="4" w:space="10" w:color="auto"/>
          <w:right w:val="single" w:sz="4" w:space="10" w:color="auto"/>
        </w:pBdr>
      </w:pPr>
    </w:p>
    <w:p w:rsidR="00CD6CCB" w:rsidRDefault="00CD6CCB" w:rsidP="00B62F4D">
      <w:pPr>
        <w:pStyle w:val="BodyText"/>
        <w:pBdr>
          <w:top w:val="single" w:sz="4" w:space="10" w:color="auto"/>
          <w:left w:val="single" w:sz="4" w:space="10" w:color="auto"/>
          <w:bottom w:val="single" w:sz="4" w:space="10" w:color="auto"/>
          <w:right w:val="single" w:sz="4" w:space="10" w:color="auto"/>
        </w:pBdr>
      </w:pPr>
      <w:r w:rsidRPr="005E2810">
        <w:t xml:space="preserve">Bill buys an apartment block on a single title.  He lives in one of the apartments as his main home and rents out the remaining six apartments.  Bill sells the apartment block to a third party.  </w:t>
      </w:r>
      <w:r>
        <w:t xml:space="preserve">Bill cannot use the main home exception </w:t>
      </w:r>
      <w:r w:rsidRPr="005E2810">
        <w:t xml:space="preserve">because the land (contained on the single title) was not used </w:t>
      </w:r>
      <w:r w:rsidR="007413B6">
        <w:t>predominantly</w:t>
      </w:r>
      <w:r w:rsidR="007413B6" w:rsidRPr="005E2810">
        <w:t xml:space="preserve"> </w:t>
      </w:r>
      <w:r w:rsidRPr="005E2810">
        <w:t>as his main home.  The majority of the la</w:t>
      </w:r>
      <w:r>
        <w:t>nd was used as rental property.</w:t>
      </w:r>
    </w:p>
    <w:p w:rsidR="00E5747E" w:rsidRDefault="00E5747E">
      <w:pPr>
        <w:jc w:val="left"/>
      </w:pPr>
      <w:r>
        <w:br w:type="page"/>
      </w:r>
    </w:p>
    <w:p w:rsidR="00CD6CCB" w:rsidRDefault="00CD6CCB" w:rsidP="00B62F4D">
      <w:pPr>
        <w:pStyle w:val="BodyText"/>
        <w:pBdr>
          <w:top w:val="single" w:sz="4" w:space="10" w:color="auto"/>
          <w:left w:val="single" w:sz="4" w:space="10" w:color="auto"/>
          <w:bottom w:val="single" w:sz="4" w:space="10" w:color="auto"/>
          <w:right w:val="single" w:sz="4" w:space="10" w:color="auto"/>
        </w:pBdr>
        <w:rPr>
          <w:b/>
          <w:bCs/>
          <w:i/>
          <w:iCs/>
        </w:rPr>
      </w:pPr>
      <w:r w:rsidRPr="005E2810">
        <w:rPr>
          <w:b/>
          <w:bCs/>
          <w:i/>
          <w:iCs/>
        </w:rPr>
        <w:t>Lifestyle block</w:t>
      </w:r>
    </w:p>
    <w:p w:rsidR="00CD6CCB" w:rsidRPr="005E2810" w:rsidRDefault="00CD6CCB" w:rsidP="00B62F4D">
      <w:pPr>
        <w:pStyle w:val="BodyText"/>
        <w:pBdr>
          <w:top w:val="single" w:sz="4" w:space="10" w:color="auto"/>
          <w:left w:val="single" w:sz="4" w:space="10" w:color="auto"/>
          <w:bottom w:val="single" w:sz="4" w:space="10" w:color="auto"/>
          <w:right w:val="single" w:sz="4" w:space="10" w:color="auto"/>
        </w:pBdr>
      </w:pPr>
    </w:p>
    <w:p w:rsidR="00CD6CCB" w:rsidRPr="005E2810" w:rsidRDefault="00CD6CCB" w:rsidP="00B62F4D">
      <w:pPr>
        <w:pStyle w:val="BodyText"/>
        <w:pBdr>
          <w:top w:val="single" w:sz="4" w:space="10" w:color="auto"/>
          <w:left w:val="single" w:sz="4" w:space="10" w:color="auto"/>
          <w:bottom w:val="single" w:sz="4" w:space="10" w:color="auto"/>
          <w:right w:val="single" w:sz="4" w:space="10" w:color="auto"/>
        </w:pBdr>
      </w:pPr>
      <w:r w:rsidRPr="005E2810">
        <w:t xml:space="preserve">Bob purchases a 2 hectare block of former farmland and builds a house on it.  Bob lives in the house as his main home with his family.  The remaining land is used by the family to keep some family horses to ride and to run a handful of sheep to keep the grass down.  Bob will </w:t>
      </w:r>
      <w:r>
        <w:t>be able to use the main home exception because t</w:t>
      </w:r>
      <w:r w:rsidRPr="005E2810">
        <w:t>he entire land has been used by Bob as his main home.</w:t>
      </w:r>
    </w:p>
    <w:p w:rsidR="00CD6CCB" w:rsidRPr="005E2810" w:rsidRDefault="00CD6CCB" w:rsidP="00CD6CCB">
      <w:pPr>
        <w:pStyle w:val="BodyText"/>
      </w:pPr>
    </w:p>
    <w:p w:rsidR="00CD6CCB" w:rsidRDefault="00CD6CCB" w:rsidP="00B62F4D">
      <w:pPr>
        <w:pStyle w:val="BodyText"/>
        <w:pBdr>
          <w:top w:val="single" w:sz="4" w:space="10" w:color="auto"/>
          <w:left w:val="single" w:sz="4" w:space="10" w:color="auto"/>
          <w:bottom w:val="single" w:sz="4" w:space="10" w:color="auto"/>
          <w:right w:val="single" w:sz="4" w:space="10" w:color="auto"/>
        </w:pBdr>
        <w:rPr>
          <w:b/>
          <w:bCs/>
          <w:i/>
          <w:iCs/>
        </w:rPr>
      </w:pPr>
      <w:r w:rsidRPr="005E2810">
        <w:rPr>
          <w:b/>
          <w:bCs/>
          <w:i/>
          <w:iCs/>
        </w:rPr>
        <w:t>Country store and house</w:t>
      </w:r>
    </w:p>
    <w:p w:rsidR="00CD6CCB" w:rsidRPr="005E2810" w:rsidRDefault="00CD6CCB" w:rsidP="00B62F4D">
      <w:pPr>
        <w:pStyle w:val="BodyText"/>
        <w:pBdr>
          <w:top w:val="single" w:sz="4" w:space="10" w:color="auto"/>
          <w:left w:val="single" w:sz="4" w:space="10" w:color="auto"/>
          <w:bottom w:val="single" w:sz="4" w:space="10" w:color="auto"/>
          <w:right w:val="single" w:sz="4" w:space="10" w:color="auto"/>
        </w:pBdr>
      </w:pPr>
    </w:p>
    <w:p w:rsidR="00CD6CCB" w:rsidRDefault="00CD6CCB" w:rsidP="00B62F4D">
      <w:pPr>
        <w:pStyle w:val="BodyText"/>
        <w:pBdr>
          <w:top w:val="single" w:sz="4" w:space="10" w:color="auto"/>
          <w:left w:val="single" w:sz="4" w:space="10" w:color="auto"/>
          <w:bottom w:val="single" w:sz="4" w:space="10" w:color="auto"/>
          <w:right w:val="single" w:sz="4" w:space="10" w:color="auto"/>
        </w:pBdr>
      </w:pPr>
      <w:r w:rsidRPr="005E2810">
        <w:t xml:space="preserve">Barbara buys a country store that has living quarters attached.  She </w:t>
      </w:r>
      <w:r w:rsidR="00EA3A00">
        <w:t>resides</w:t>
      </w:r>
      <w:r w:rsidRPr="005E2810">
        <w:t xml:space="preserve"> in the living quarters and runs a retail business from the front half of the property.  She estimates that the retail business uses 45 percent of the property and claims expenses (insurance and rates) on that basis against the retail income.  Barbara sells the property.</w:t>
      </w:r>
    </w:p>
    <w:p w:rsidR="0040648D" w:rsidRDefault="0040648D" w:rsidP="00B62F4D">
      <w:pPr>
        <w:pStyle w:val="BodyText"/>
        <w:pBdr>
          <w:top w:val="single" w:sz="4" w:space="10" w:color="auto"/>
          <w:left w:val="single" w:sz="4" w:space="10" w:color="auto"/>
          <w:bottom w:val="single" w:sz="4" w:space="10" w:color="auto"/>
          <w:right w:val="single" w:sz="4" w:space="10" w:color="auto"/>
        </w:pBdr>
      </w:pPr>
    </w:p>
    <w:p w:rsidR="00CD6CCB" w:rsidRDefault="00CD6CCB" w:rsidP="00B62F4D">
      <w:pPr>
        <w:pStyle w:val="BodyText"/>
        <w:pBdr>
          <w:top w:val="single" w:sz="4" w:space="10" w:color="auto"/>
          <w:left w:val="single" w:sz="4" w:space="10" w:color="auto"/>
          <w:bottom w:val="single" w:sz="4" w:space="10" w:color="auto"/>
          <w:right w:val="single" w:sz="4" w:space="10" w:color="auto"/>
        </w:pBdr>
      </w:pPr>
      <w:r>
        <w:t xml:space="preserve">Barbara is not able to use the business premises exception as the land is not used </w:t>
      </w:r>
      <w:r w:rsidR="007413B6">
        <w:t xml:space="preserve">predominantly </w:t>
      </w:r>
      <w:r>
        <w:t>for her retail business (45 percent).</w:t>
      </w:r>
    </w:p>
    <w:p w:rsidR="00CD6CCB" w:rsidRDefault="00CD6CCB" w:rsidP="00B62F4D">
      <w:pPr>
        <w:pStyle w:val="BodyText"/>
        <w:pBdr>
          <w:top w:val="single" w:sz="4" w:space="10" w:color="auto"/>
          <w:left w:val="single" w:sz="4" w:space="10" w:color="auto"/>
          <w:bottom w:val="single" w:sz="4" w:space="10" w:color="auto"/>
          <w:right w:val="single" w:sz="4" w:space="10" w:color="auto"/>
        </w:pBdr>
      </w:pPr>
    </w:p>
    <w:p w:rsidR="00CD6CCB" w:rsidRPr="005E2810" w:rsidRDefault="00CD6CCB" w:rsidP="00B62F4D">
      <w:pPr>
        <w:pStyle w:val="BodyText"/>
        <w:pBdr>
          <w:top w:val="single" w:sz="4" w:space="10" w:color="auto"/>
          <w:left w:val="single" w:sz="4" w:space="10" w:color="auto"/>
          <w:bottom w:val="single" w:sz="4" w:space="10" w:color="auto"/>
          <w:right w:val="single" w:sz="4" w:space="10" w:color="auto"/>
        </w:pBdr>
      </w:pPr>
      <w:r>
        <w:t>However, Barbara can utilise the main home exception</w:t>
      </w:r>
      <w:r w:rsidRPr="005E2810">
        <w:t xml:space="preserve"> because she has used the property </w:t>
      </w:r>
      <w:r w:rsidR="007413B6">
        <w:t>predominantly</w:t>
      </w:r>
      <w:r w:rsidR="007413B6" w:rsidRPr="005E2810">
        <w:t xml:space="preserve"> </w:t>
      </w:r>
      <w:r w:rsidRPr="005E2810">
        <w:t>(55 percent) as her main home during the time she has owned the property.  She uses her previous estimate for her expenses to prove her actual use of the property.</w:t>
      </w:r>
    </w:p>
    <w:p w:rsidR="00CD6CCB" w:rsidRPr="005E2810" w:rsidRDefault="00CD6CCB" w:rsidP="00CD6CCB">
      <w:pPr>
        <w:pStyle w:val="BodyText"/>
      </w:pPr>
    </w:p>
    <w:p w:rsidR="00CD6CCB" w:rsidRDefault="000815E1" w:rsidP="00B62F4D">
      <w:pPr>
        <w:pStyle w:val="BodyText"/>
        <w:pBdr>
          <w:top w:val="single" w:sz="4" w:space="10" w:color="auto"/>
          <w:left w:val="single" w:sz="4" w:space="10" w:color="auto"/>
          <w:bottom w:val="single" w:sz="4" w:space="10" w:color="auto"/>
          <w:right w:val="single" w:sz="4" w:space="10" w:color="auto"/>
        </w:pBdr>
        <w:rPr>
          <w:b/>
          <w:bCs/>
          <w:i/>
          <w:iCs/>
        </w:rPr>
      </w:pPr>
      <w:r>
        <w:rPr>
          <w:b/>
          <w:bCs/>
          <w:i/>
          <w:iCs/>
        </w:rPr>
        <w:t>P</w:t>
      </w:r>
      <w:r w:rsidR="00CD6CCB" w:rsidRPr="005E2810">
        <w:rPr>
          <w:b/>
          <w:bCs/>
          <w:i/>
          <w:iCs/>
        </w:rPr>
        <w:t xml:space="preserve">urchase of lifestyle block </w:t>
      </w:r>
      <w:r>
        <w:rPr>
          <w:b/>
          <w:bCs/>
          <w:i/>
          <w:iCs/>
        </w:rPr>
        <w:t>- A</w:t>
      </w:r>
    </w:p>
    <w:p w:rsidR="00CD6CCB" w:rsidRPr="005E2810" w:rsidRDefault="00CD6CCB" w:rsidP="00B62F4D">
      <w:pPr>
        <w:pStyle w:val="BodyText"/>
        <w:pBdr>
          <w:top w:val="single" w:sz="4" w:space="10" w:color="auto"/>
          <w:left w:val="single" w:sz="4" w:space="10" w:color="auto"/>
          <w:bottom w:val="single" w:sz="4" w:space="10" w:color="auto"/>
          <w:right w:val="single" w:sz="4" w:space="10" w:color="auto"/>
        </w:pBdr>
      </w:pPr>
    </w:p>
    <w:p w:rsidR="00CD6CCB" w:rsidRDefault="00CD6CCB" w:rsidP="00B62F4D">
      <w:pPr>
        <w:pStyle w:val="BodyText"/>
        <w:pBdr>
          <w:top w:val="single" w:sz="4" w:space="10" w:color="auto"/>
          <w:left w:val="single" w:sz="4" w:space="10" w:color="auto"/>
          <w:bottom w:val="single" w:sz="4" w:space="10" w:color="auto"/>
          <w:right w:val="single" w:sz="4" w:space="10" w:color="auto"/>
        </w:pBdr>
      </w:pPr>
      <w:r w:rsidRPr="005E2810">
        <w:t>Bob and Deb decide to move from the city to the country.  They buy a 15 acre (6 hectare) block on which there are the following buildings:</w:t>
      </w:r>
    </w:p>
    <w:p w:rsidR="0027249F" w:rsidRPr="005E2810" w:rsidRDefault="0027249F" w:rsidP="00B62F4D">
      <w:pPr>
        <w:pStyle w:val="BodyText"/>
        <w:pBdr>
          <w:top w:val="single" w:sz="4" w:space="10" w:color="auto"/>
          <w:left w:val="single" w:sz="4" w:space="10" w:color="auto"/>
          <w:bottom w:val="single" w:sz="4" w:space="10" w:color="auto"/>
          <w:right w:val="single" w:sz="4" w:space="10" w:color="auto"/>
        </w:pBdr>
      </w:pPr>
    </w:p>
    <w:p w:rsidR="00CD6CCB" w:rsidRPr="005E2810" w:rsidRDefault="0027249F" w:rsidP="00F80A3E">
      <w:pPr>
        <w:pStyle w:val="BodyText"/>
        <w:widowControl w:val="0"/>
        <w:pBdr>
          <w:top w:val="single" w:sz="4" w:space="10" w:color="auto"/>
          <w:left w:val="single" w:sz="4" w:space="10" w:color="auto"/>
          <w:bottom w:val="single" w:sz="4" w:space="10" w:color="auto"/>
          <w:right w:val="single" w:sz="4" w:space="10" w:color="auto"/>
        </w:pBdr>
        <w:tabs>
          <w:tab w:val="left" w:pos="567"/>
        </w:tabs>
        <w:suppressAutoHyphens/>
        <w:spacing w:after="140"/>
        <w:ind w:left="567" w:hanging="567"/>
      </w:pPr>
      <w:r>
        <w:sym w:font="Wingdings" w:char="F09F"/>
      </w:r>
      <w:r>
        <w:tab/>
      </w:r>
      <w:proofErr w:type="gramStart"/>
      <w:r w:rsidR="00966C18">
        <w:t>a</w:t>
      </w:r>
      <w:proofErr w:type="gramEnd"/>
      <w:r w:rsidR="00CD6CCB" w:rsidRPr="005E2810">
        <w:t xml:space="preserve"> two-storey building that consists of a large room and office downstairs and basic two-bedroom accommodation upstairs</w:t>
      </w:r>
      <w:r w:rsidR="00966C18">
        <w:t>;</w:t>
      </w:r>
    </w:p>
    <w:p w:rsidR="00CD6CCB" w:rsidRPr="005E2810" w:rsidRDefault="0027249F" w:rsidP="00F80A3E">
      <w:pPr>
        <w:pStyle w:val="BodyText"/>
        <w:widowControl w:val="0"/>
        <w:pBdr>
          <w:top w:val="single" w:sz="4" w:space="10" w:color="auto"/>
          <w:left w:val="single" w:sz="4" w:space="10" w:color="auto"/>
          <w:bottom w:val="single" w:sz="4" w:space="10" w:color="auto"/>
          <w:right w:val="single" w:sz="4" w:space="10" w:color="auto"/>
        </w:pBdr>
        <w:tabs>
          <w:tab w:val="left" w:pos="567"/>
        </w:tabs>
        <w:suppressAutoHyphens/>
        <w:spacing w:after="140"/>
        <w:ind w:left="567" w:hanging="567"/>
      </w:pPr>
      <w:r>
        <w:sym w:font="Wingdings" w:char="F09F"/>
      </w:r>
      <w:r>
        <w:tab/>
      </w:r>
      <w:proofErr w:type="gramStart"/>
      <w:r w:rsidR="00966C18">
        <w:t>a</w:t>
      </w:r>
      <w:proofErr w:type="gramEnd"/>
      <w:r w:rsidR="00CD6CCB" w:rsidRPr="005E2810">
        <w:t xml:space="preserve"> large shed</w:t>
      </w:r>
      <w:r w:rsidR="00966C18">
        <w:t>; and</w:t>
      </w:r>
    </w:p>
    <w:p w:rsidR="00CD6CCB" w:rsidRPr="005E2810" w:rsidRDefault="0027249F" w:rsidP="00F80A3E">
      <w:pPr>
        <w:pStyle w:val="BodyText"/>
        <w:widowControl w:val="0"/>
        <w:pBdr>
          <w:top w:val="single" w:sz="4" w:space="10" w:color="auto"/>
          <w:left w:val="single" w:sz="4" w:space="10" w:color="auto"/>
          <w:bottom w:val="single" w:sz="4" w:space="10" w:color="auto"/>
          <w:right w:val="single" w:sz="4" w:space="10" w:color="auto"/>
        </w:pBdr>
        <w:tabs>
          <w:tab w:val="left" w:pos="567"/>
        </w:tabs>
        <w:suppressAutoHyphens/>
        <w:ind w:left="567" w:hanging="567"/>
      </w:pPr>
      <w:r>
        <w:sym w:font="Wingdings" w:char="F09F"/>
      </w:r>
      <w:r>
        <w:tab/>
      </w:r>
      <w:proofErr w:type="gramStart"/>
      <w:r w:rsidR="00966C18">
        <w:t>s</w:t>
      </w:r>
      <w:r w:rsidR="00CD6CCB" w:rsidRPr="005E2810">
        <w:t>ix</w:t>
      </w:r>
      <w:proofErr w:type="gramEnd"/>
      <w:r w:rsidR="00CD6CCB" w:rsidRPr="005E2810">
        <w:t xml:space="preserve"> un-used glasshouses</w:t>
      </w:r>
      <w:r w:rsidR="00966C18">
        <w:t>.</w:t>
      </w:r>
    </w:p>
    <w:p w:rsidR="00DD7ABC" w:rsidRDefault="00DD7ABC" w:rsidP="00B62F4D">
      <w:pPr>
        <w:pStyle w:val="BodyText"/>
        <w:pBdr>
          <w:top w:val="single" w:sz="4" w:space="10" w:color="auto"/>
          <w:left w:val="single" w:sz="4" w:space="10" w:color="auto"/>
          <w:bottom w:val="single" w:sz="4" w:space="10" w:color="auto"/>
          <w:right w:val="single" w:sz="4" w:space="10" w:color="auto"/>
        </w:pBdr>
      </w:pPr>
    </w:p>
    <w:p w:rsidR="00CD6CCB" w:rsidRDefault="00CD6CCB" w:rsidP="00B62F4D">
      <w:pPr>
        <w:pStyle w:val="BodyText"/>
        <w:pBdr>
          <w:top w:val="single" w:sz="4" w:space="10" w:color="auto"/>
          <w:left w:val="single" w:sz="4" w:space="10" w:color="auto"/>
          <w:bottom w:val="single" w:sz="4" w:space="10" w:color="auto"/>
          <w:right w:val="single" w:sz="4" w:space="10" w:color="auto"/>
        </w:pBdr>
      </w:pPr>
      <w:r w:rsidRPr="005E2810">
        <w:t>They move in and purchase some livestock to keep the grass down and the freezer full</w:t>
      </w:r>
      <w:r w:rsidR="00F16E3E">
        <w:t>.  T</w:t>
      </w:r>
      <w:r w:rsidRPr="005E2810">
        <w:t>he couple start looking at their options for improving their accommodation.</w:t>
      </w:r>
    </w:p>
    <w:p w:rsidR="0040648D" w:rsidRPr="005E2810" w:rsidRDefault="0040648D" w:rsidP="00B62F4D">
      <w:pPr>
        <w:pStyle w:val="BodyText"/>
        <w:pBdr>
          <w:top w:val="single" w:sz="4" w:space="10" w:color="auto"/>
          <w:left w:val="single" w:sz="4" w:space="10" w:color="auto"/>
          <w:bottom w:val="single" w:sz="4" w:space="10" w:color="auto"/>
          <w:right w:val="single" w:sz="4" w:space="10" w:color="auto"/>
        </w:pBdr>
      </w:pPr>
    </w:p>
    <w:p w:rsidR="00CD6CCB" w:rsidRDefault="00CD6CCB" w:rsidP="00B62F4D">
      <w:pPr>
        <w:pStyle w:val="BodyText"/>
        <w:pBdr>
          <w:top w:val="single" w:sz="4" w:space="10" w:color="auto"/>
          <w:left w:val="single" w:sz="4" w:space="10" w:color="auto"/>
          <w:bottom w:val="single" w:sz="4" w:space="10" w:color="auto"/>
          <w:right w:val="single" w:sz="4" w:space="10" w:color="auto"/>
        </w:pBdr>
      </w:pPr>
      <w:r>
        <w:t>The land is not eligible for the farmland exclusion because it is not large enough to be an economic unit for farming purposes.</w:t>
      </w:r>
    </w:p>
    <w:p w:rsidR="000815E1" w:rsidRDefault="000815E1" w:rsidP="00B62F4D">
      <w:pPr>
        <w:pStyle w:val="BodyText"/>
        <w:pBdr>
          <w:top w:val="single" w:sz="4" w:space="10" w:color="auto"/>
          <w:left w:val="single" w:sz="4" w:space="10" w:color="auto"/>
          <w:bottom w:val="single" w:sz="4" w:space="10" w:color="auto"/>
          <w:right w:val="single" w:sz="4" w:space="10" w:color="auto"/>
        </w:pBdr>
      </w:pPr>
    </w:p>
    <w:p w:rsidR="00CD6CCB" w:rsidRDefault="00CD6CCB" w:rsidP="00B62F4D">
      <w:pPr>
        <w:pStyle w:val="BodyText"/>
        <w:pBdr>
          <w:top w:val="single" w:sz="4" w:space="10" w:color="auto"/>
          <w:left w:val="single" w:sz="4" w:space="10" w:color="auto"/>
          <w:bottom w:val="single" w:sz="4" w:space="10" w:color="auto"/>
          <w:right w:val="single" w:sz="4" w:space="10" w:color="auto"/>
        </w:pBdr>
      </w:pPr>
      <w:r>
        <w:t>However they would be able to use the main home exception as all of the area</w:t>
      </w:r>
      <w:r w:rsidR="008638C4">
        <w:t>s</w:t>
      </w:r>
      <w:r>
        <w:t xml:space="preserve"> </w:t>
      </w:r>
      <w:r w:rsidR="008638C4">
        <w:t>are</w:t>
      </w:r>
      <w:r>
        <w:t xml:space="preserve"> used for their residence.</w:t>
      </w:r>
    </w:p>
    <w:p w:rsidR="00DC6603" w:rsidRDefault="00DC6603">
      <w:pPr>
        <w:jc w:val="left"/>
      </w:pPr>
      <w:r>
        <w:br w:type="page"/>
      </w:r>
    </w:p>
    <w:p w:rsidR="00CD6CCB" w:rsidRDefault="000815E1" w:rsidP="00B62F4D">
      <w:pPr>
        <w:pStyle w:val="BodyText"/>
        <w:pBdr>
          <w:top w:val="single" w:sz="4" w:space="10" w:color="auto"/>
          <w:left w:val="single" w:sz="4" w:space="10" w:color="auto"/>
          <w:bottom w:val="single" w:sz="4" w:space="10" w:color="auto"/>
          <w:right w:val="single" w:sz="4" w:space="10" w:color="auto"/>
        </w:pBdr>
        <w:rPr>
          <w:b/>
          <w:bCs/>
          <w:i/>
          <w:iCs/>
        </w:rPr>
      </w:pPr>
      <w:r>
        <w:rPr>
          <w:b/>
          <w:bCs/>
          <w:i/>
          <w:iCs/>
        </w:rPr>
        <w:t>P</w:t>
      </w:r>
      <w:r w:rsidR="00CD6CCB" w:rsidRPr="00CF731A">
        <w:rPr>
          <w:b/>
          <w:bCs/>
          <w:i/>
          <w:iCs/>
        </w:rPr>
        <w:t>urchase of lifestyle</w:t>
      </w:r>
      <w:r w:rsidR="00CD6CCB">
        <w:rPr>
          <w:b/>
          <w:bCs/>
          <w:i/>
          <w:iCs/>
        </w:rPr>
        <w:t xml:space="preserve"> block</w:t>
      </w:r>
      <w:r w:rsidR="00966C18">
        <w:rPr>
          <w:b/>
          <w:bCs/>
          <w:i/>
          <w:iCs/>
        </w:rPr>
        <w:t xml:space="preserve"> -</w:t>
      </w:r>
      <w:r>
        <w:rPr>
          <w:b/>
          <w:bCs/>
          <w:i/>
          <w:iCs/>
        </w:rPr>
        <w:t xml:space="preserve"> B</w:t>
      </w:r>
    </w:p>
    <w:p w:rsidR="00CD6CCB" w:rsidRPr="00E5747E" w:rsidRDefault="00CD6CCB" w:rsidP="00B62F4D">
      <w:pPr>
        <w:pStyle w:val="BodyText"/>
        <w:pBdr>
          <w:top w:val="single" w:sz="4" w:space="10" w:color="auto"/>
          <w:left w:val="single" w:sz="4" w:space="10" w:color="auto"/>
          <w:bottom w:val="single" w:sz="4" w:space="10" w:color="auto"/>
          <w:right w:val="single" w:sz="4" w:space="10" w:color="auto"/>
        </w:pBdr>
        <w:rPr>
          <w:bCs/>
          <w:iCs/>
        </w:rPr>
      </w:pPr>
    </w:p>
    <w:p w:rsidR="00CD6CCB" w:rsidRDefault="00CD6CCB" w:rsidP="00B62F4D">
      <w:pPr>
        <w:pStyle w:val="BodyText"/>
        <w:pBdr>
          <w:top w:val="single" w:sz="4" w:space="10" w:color="auto"/>
          <w:left w:val="single" w:sz="4" w:space="10" w:color="auto"/>
          <w:bottom w:val="single" w:sz="4" w:space="10" w:color="auto"/>
          <w:right w:val="single" w:sz="4" w:space="10" w:color="auto"/>
        </w:pBdr>
      </w:pPr>
      <w:r w:rsidRPr="005E2810">
        <w:t>The couple then look at their options for improving their accommodation.  They consider the following:</w:t>
      </w:r>
    </w:p>
    <w:p w:rsidR="00CD6CCB" w:rsidRPr="005E2810" w:rsidRDefault="00CD6CCB" w:rsidP="00B62F4D">
      <w:pPr>
        <w:pStyle w:val="BodyText"/>
        <w:pBdr>
          <w:top w:val="single" w:sz="4" w:space="10" w:color="auto"/>
          <w:left w:val="single" w:sz="4" w:space="10" w:color="auto"/>
          <w:bottom w:val="single" w:sz="4" w:space="10" w:color="auto"/>
          <w:right w:val="single" w:sz="4" w:space="10" w:color="auto"/>
        </w:pBdr>
      </w:pPr>
    </w:p>
    <w:p w:rsidR="00CD6CCB" w:rsidRPr="005E2810" w:rsidRDefault="00966C18" w:rsidP="00F80A3E">
      <w:pPr>
        <w:pStyle w:val="BodyText"/>
        <w:pBdr>
          <w:top w:val="single" w:sz="4" w:space="10" w:color="auto"/>
          <w:left w:val="single" w:sz="4" w:space="10" w:color="auto"/>
          <w:bottom w:val="single" w:sz="4" w:space="10" w:color="auto"/>
          <w:right w:val="single" w:sz="4" w:space="10" w:color="auto"/>
        </w:pBdr>
        <w:tabs>
          <w:tab w:val="left" w:pos="567"/>
        </w:tabs>
        <w:spacing w:after="140"/>
        <w:ind w:left="567" w:hanging="567"/>
      </w:pPr>
      <w:r>
        <w:sym w:font="Wingdings" w:char="F09F"/>
      </w:r>
      <w:r w:rsidR="00CD6CCB" w:rsidRPr="005E2810">
        <w:tab/>
      </w:r>
      <w:proofErr w:type="gramStart"/>
      <w:r>
        <w:t>r</w:t>
      </w:r>
      <w:r w:rsidR="00CD6CCB" w:rsidRPr="005E2810">
        <w:t>enovating</w:t>
      </w:r>
      <w:proofErr w:type="gramEnd"/>
      <w:r w:rsidR="00CD6CCB" w:rsidRPr="005E2810">
        <w:t xml:space="preserve"> the house and bringing the downstairs area into use as part of the home</w:t>
      </w:r>
      <w:r>
        <w:t>; and</w:t>
      </w:r>
    </w:p>
    <w:p w:rsidR="00CD6CCB" w:rsidRDefault="00966C18" w:rsidP="00F80A3E">
      <w:pPr>
        <w:pStyle w:val="BodyText"/>
        <w:pBdr>
          <w:top w:val="single" w:sz="4" w:space="10" w:color="auto"/>
          <w:left w:val="single" w:sz="4" w:space="10" w:color="auto"/>
          <w:bottom w:val="single" w:sz="4" w:space="10" w:color="auto"/>
          <w:right w:val="single" w:sz="4" w:space="10" w:color="auto"/>
        </w:pBdr>
        <w:ind w:left="567" w:hanging="567"/>
      </w:pPr>
      <w:r>
        <w:sym w:font="Wingdings" w:char="F09F"/>
      </w:r>
      <w:r w:rsidR="00CD6CCB" w:rsidRPr="005E2810">
        <w:tab/>
      </w:r>
      <w:proofErr w:type="gramStart"/>
      <w:r>
        <w:t>b</w:t>
      </w:r>
      <w:r w:rsidR="00CD6CCB" w:rsidRPr="005E2810">
        <w:t>uilding</w:t>
      </w:r>
      <w:proofErr w:type="gramEnd"/>
      <w:r w:rsidR="00CD6CCB" w:rsidRPr="005E2810">
        <w:t xml:space="preserve"> a new home and renting out the old one.</w:t>
      </w:r>
    </w:p>
    <w:p w:rsidR="0027249F" w:rsidRPr="005E2810" w:rsidRDefault="0027249F" w:rsidP="00B62F4D">
      <w:pPr>
        <w:pStyle w:val="BodyText"/>
        <w:pBdr>
          <w:top w:val="single" w:sz="4" w:space="10" w:color="auto"/>
          <w:left w:val="single" w:sz="4" w:space="10" w:color="auto"/>
          <w:bottom w:val="single" w:sz="4" w:space="10" w:color="auto"/>
          <w:right w:val="single" w:sz="4" w:space="10" w:color="auto"/>
        </w:pBdr>
      </w:pPr>
    </w:p>
    <w:p w:rsidR="00CD6CCB" w:rsidRDefault="00CD6CCB" w:rsidP="00B62F4D">
      <w:pPr>
        <w:pStyle w:val="BodyText"/>
        <w:pBdr>
          <w:top w:val="single" w:sz="4" w:space="10" w:color="auto"/>
          <w:left w:val="single" w:sz="4" w:space="10" w:color="auto"/>
          <w:bottom w:val="single" w:sz="4" w:space="10" w:color="auto"/>
          <w:right w:val="single" w:sz="4" w:space="10" w:color="auto"/>
        </w:pBdr>
      </w:pPr>
      <w:r w:rsidRPr="005E2810">
        <w:t xml:space="preserve">They also consider how the glasshouses could be </w:t>
      </w:r>
      <w:r w:rsidR="00966C18">
        <w:t>used</w:t>
      </w:r>
      <w:r w:rsidR="00966C18" w:rsidRPr="005E2810">
        <w:t xml:space="preserve"> </w:t>
      </w:r>
      <w:r w:rsidRPr="005E2810">
        <w:t>to supplement their income.  They consider establishing a cut flower</w:t>
      </w:r>
      <w:r w:rsidR="00966C18">
        <w:t>-</w:t>
      </w:r>
      <w:r w:rsidRPr="005E2810">
        <w:t xml:space="preserve">growing business in the glasshouses, using the large shed as a packing room and </w:t>
      </w:r>
      <w:proofErr w:type="spellStart"/>
      <w:r w:rsidRPr="005E2810">
        <w:t>chiller</w:t>
      </w:r>
      <w:proofErr w:type="spellEnd"/>
      <w:r w:rsidRPr="005E2810">
        <w:t xml:space="preserve"> area.</w:t>
      </w:r>
    </w:p>
    <w:p w:rsidR="003D4578" w:rsidRPr="005E2810" w:rsidRDefault="003D4578" w:rsidP="00B62F4D">
      <w:pPr>
        <w:pStyle w:val="BodyText"/>
        <w:pBdr>
          <w:top w:val="single" w:sz="4" w:space="10" w:color="auto"/>
          <w:left w:val="single" w:sz="4" w:space="10" w:color="auto"/>
          <w:bottom w:val="single" w:sz="4" w:space="10" w:color="auto"/>
          <w:right w:val="single" w:sz="4" w:space="10" w:color="auto"/>
        </w:pBdr>
      </w:pPr>
    </w:p>
    <w:p w:rsidR="00CD6CCB" w:rsidRDefault="00CD6CCB" w:rsidP="00B62F4D">
      <w:pPr>
        <w:pStyle w:val="BodyText"/>
        <w:pBdr>
          <w:top w:val="single" w:sz="4" w:space="10" w:color="auto"/>
          <w:left w:val="single" w:sz="4" w:space="10" w:color="auto"/>
          <w:bottom w:val="single" w:sz="4" w:space="10" w:color="auto"/>
          <w:right w:val="single" w:sz="4" w:space="10" w:color="auto"/>
        </w:pBdr>
      </w:pPr>
      <w:r w:rsidRPr="005E2810">
        <w:t>They also consider leasing out half of the paddocks for horse grazing.</w:t>
      </w:r>
    </w:p>
    <w:p w:rsidR="0040648D" w:rsidRPr="005E2810" w:rsidRDefault="0040648D" w:rsidP="00B62F4D">
      <w:pPr>
        <w:pStyle w:val="BodyText"/>
        <w:pBdr>
          <w:top w:val="single" w:sz="4" w:space="10" w:color="auto"/>
          <w:left w:val="single" w:sz="4" w:space="10" w:color="auto"/>
          <w:bottom w:val="single" w:sz="4" w:space="10" w:color="auto"/>
          <w:right w:val="single" w:sz="4" w:space="10" w:color="auto"/>
        </w:pBdr>
      </w:pPr>
    </w:p>
    <w:p w:rsidR="00CD6CCB" w:rsidRDefault="00CD6CCB" w:rsidP="00B62F4D">
      <w:pPr>
        <w:pStyle w:val="BodyText"/>
        <w:pBdr>
          <w:top w:val="single" w:sz="4" w:space="10" w:color="auto"/>
          <w:left w:val="single" w:sz="4" w:space="10" w:color="auto"/>
          <w:bottom w:val="single" w:sz="4" w:space="10" w:color="auto"/>
          <w:right w:val="single" w:sz="4" w:space="10" w:color="auto"/>
        </w:pBdr>
      </w:pPr>
      <w:r w:rsidRPr="005E2810">
        <w:t>If the property was later sold, the changes being contemplated would have the following effects:</w:t>
      </w:r>
    </w:p>
    <w:p w:rsidR="00CD6CCB" w:rsidRPr="005E2810" w:rsidRDefault="00CD6CCB" w:rsidP="00B62F4D">
      <w:pPr>
        <w:pStyle w:val="BodyText"/>
        <w:pBdr>
          <w:top w:val="single" w:sz="4" w:space="10" w:color="auto"/>
          <w:left w:val="single" w:sz="4" w:space="10" w:color="auto"/>
          <w:bottom w:val="single" w:sz="4" w:space="10" w:color="auto"/>
          <w:right w:val="single" w:sz="4" w:space="10" w:color="auto"/>
        </w:pBdr>
      </w:pPr>
    </w:p>
    <w:p w:rsidR="00CD6CCB" w:rsidRPr="005E2810" w:rsidRDefault="000815E1" w:rsidP="00F80A3E">
      <w:pPr>
        <w:pStyle w:val="BodyText"/>
        <w:widowControl w:val="0"/>
        <w:pBdr>
          <w:top w:val="single" w:sz="4" w:space="10" w:color="auto"/>
          <w:left w:val="single" w:sz="4" w:space="10" w:color="auto"/>
          <w:bottom w:val="single" w:sz="4" w:space="10" w:color="auto"/>
          <w:right w:val="single" w:sz="4" w:space="10" w:color="auto"/>
        </w:pBdr>
        <w:tabs>
          <w:tab w:val="left" w:pos="567"/>
        </w:tabs>
        <w:suppressAutoHyphens/>
        <w:spacing w:after="140"/>
        <w:ind w:left="567" w:hanging="567"/>
      </w:pPr>
      <w:r>
        <w:sym w:font="Wingdings" w:char="F09F"/>
      </w:r>
      <w:r>
        <w:tab/>
      </w:r>
      <w:r w:rsidR="00CD6CCB" w:rsidRPr="005E2810">
        <w:t>Renovation of the house to include the ground floor as part of their home would not change the application of the main home exemption.</w:t>
      </w:r>
    </w:p>
    <w:p w:rsidR="00CD6CCB" w:rsidRPr="005E2810" w:rsidRDefault="000815E1" w:rsidP="00F80A3E">
      <w:pPr>
        <w:pStyle w:val="BodyText"/>
        <w:widowControl w:val="0"/>
        <w:pBdr>
          <w:top w:val="single" w:sz="4" w:space="10" w:color="auto"/>
          <w:left w:val="single" w:sz="4" w:space="10" w:color="auto"/>
          <w:bottom w:val="single" w:sz="4" w:space="10" w:color="auto"/>
          <w:right w:val="single" w:sz="4" w:space="10" w:color="auto"/>
        </w:pBdr>
        <w:tabs>
          <w:tab w:val="left" w:pos="567"/>
        </w:tabs>
        <w:suppressAutoHyphens/>
        <w:spacing w:after="140"/>
        <w:ind w:left="567" w:hanging="567"/>
      </w:pPr>
      <w:r>
        <w:sym w:font="Wingdings" w:char="F09F"/>
      </w:r>
      <w:r>
        <w:tab/>
      </w:r>
      <w:r w:rsidR="00CD6CCB" w:rsidRPr="005E2810">
        <w:t>If a new house was built and the old one rented out, there would be multiple dwellings on the property.  However, as the new home and paddock area would exceed the area of the rental property, the main home exemption would still apply.</w:t>
      </w:r>
    </w:p>
    <w:p w:rsidR="00CD6CCB" w:rsidRPr="005E2810" w:rsidRDefault="000815E1" w:rsidP="00F80A3E">
      <w:pPr>
        <w:pStyle w:val="BodyText"/>
        <w:widowControl w:val="0"/>
        <w:pBdr>
          <w:top w:val="single" w:sz="4" w:space="10" w:color="auto"/>
          <w:left w:val="single" w:sz="4" w:space="10" w:color="auto"/>
          <w:bottom w:val="single" w:sz="4" w:space="10" w:color="auto"/>
          <w:right w:val="single" w:sz="4" w:space="10" w:color="auto"/>
        </w:pBdr>
        <w:tabs>
          <w:tab w:val="left" w:pos="567"/>
        </w:tabs>
        <w:suppressAutoHyphens/>
        <w:spacing w:after="140"/>
        <w:ind w:left="567" w:hanging="567"/>
      </w:pPr>
      <w:r>
        <w:sym w:font="Wingdings" w:char="F09F"/>
      </w:r>
      <w:r>
        <w:tab/>
      </w:r>
      <w:r w:rsidR="00CD6CCB" w:rsidRPr="005E2810">
        <w:t>Utilising the glasshouses would also have no effect as the area of the rental house and the glasshouses would not exceed the area of the house and paddocks.</w:t>
      </w:r>
    </w:p>
    <w:p w:rsidR="00CD6CCB" w:rsidRPr="005E2810" w:rsidRDefault="000815E1" w:rsidP="00F80A3E">
      <w:pPr>
        <w:pStyle w:val="BodyText"/>
        <w:widowControl w:val="0"/>
        <w:pBdr>
          <w:top w:val="single" w:sz="4" w:space="10" w:color="auto"/>
          <w:left w:val="single" w:sz="4" w:space="10" w:color="auto"/>
          <w:bottom w:val="single" w:sz="4" w:space="10" w:color="auto"/>
          <w:right w:val="single" w:sz="4" w:space="10" w:color="auto"/>
        </w:pBdr>
        <w:tabs>
          <w:tab w:val="left" w:pos="567"/>
        </w:tabs>
        <w:suppressAutoHyphens/>
        <w:ind w:left="567" w:hanging="567"/>
      </w:pPr>
      <w:r>
        <w:sym w:font="Wingdings" w:char="F09F"/>
      </w:r>
      <w:r>
        <w:tab/>
      </w:r>
      <w:r w:rsidR="00CD6CCB" w:rsidRPr="005E2810">
        <w:t>Leasing out half of the paddocks for grazing would be the one change that would be likely to result in the main home exemption being no longer available.  This is because the area used for their own purposes would probably not exceed the area of the glasshouses, the rental home and the leased paddocks.</w:t>
      </w:r>
    </w:p>
    <w:p w:rsidR="0024625F" w:rsidRPr="00E5747E" w:rsidRDefault="0024625F" w:rsidP="00CD6CCB"/>
    <w:p w:rsidR="00E5747E" w:rsidRDefault="00E5747E">
      <w:pPr>
        <w:jc w:val="left"/>
        <w:rPr>
          <w:b/>
          <w:i/>
        </w:rPr>
      </w:pPr>
      <w:r>
        <w:rPr>
          <w:b/>
          <w:i/>
        </w:rPr>
        <w:br w:type="page"/>
      </w:r>
    </w:p>
    <w:p w:rsidR="00CD6CCB" w:rsidRPr="00CD6CCB" w:rsidRDefault="00CD6CCB" w:rsidP="00CD6CCB">
      <w:pPr>
        <w:rPr>
          <w:b/>
          <w:i/>
        </w:rPr>
      </w:pPr>
      <w:r w:rsidRPr="00CD6CCB">
        <w:rPr>
          <w:b/>
          <w:i/>
        </w:rPr>
        <w:t>Main home exception for multiple properties</w:t>
      </w:r>
    </w:p>
    <w:p w:rsidR="00CD6CCB" w:rsidRDefault="00CD6CCB" w:rsidP="00CD6CCB"/>
    <w:p w:rsidR="00CD6CCB" w:rsidRDefault="00CD6CCB" w:rsidP="00CD6CCB">
      <w:r>
        <w:t xml:space="preserve">In limited </w:t>
      </w:r>
      <w:r w:rsidR="000815E1">
        <w:t>circumstances</w:t>
      </w:r>
      <w:r>
        <w:t xml:space="preserve"> a person may use the main home exception for two properties at the same time.</w:t>
      </w:r>
    </w:p>
    <w:p w:rsidR="00CD6CCB" w:rsidRDefault="00CD6CCB" w:rsidP="00CD6CCB"/>
    <w:p w:rsidR="00CD6CCB" w:rsidRDefault="00CD6CCB" w:rsidP="00CD6CCB">
      <w:r w:rsidRPr="005E2810">
        <w:rPr>
          <w:noProof/>
          <w:lang w:val="en-NZ" w:eastAsia="en-NZ"/>
        </w:rPr>
        <mc:AlternateContent>
          <mc:Choice Requires="wpc">
            <w:drawing>
              <wp:inline distT="0" distB="0" distL="0" distR="0" wp14:anchorId="55976CF5" wp14:editId="2D3BD3F6">
                <wp:extent cx="5276850" cy="3629026"/>
                <wp:effectExtent l="0" t="0" r="19050" b="28575"/>
                <wp:docPr id="80" name="Canvas 8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62" name="Text Box 62"/>
                        <wps:cNvSpPr txBox="1"/>
                        <wps:spPr>
                          <a:xfrm>
                            <a:off x="419100" y="123826"/>
                            <a:ext cx="29527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5904" w:rsidRPr="005E2810" w:rsidRDefault="00F45904" w:rsidP="00CD6CCB">
                              <w:pPr>
                                <w:jc w:val="center"/>
                                <w:rPr>
                                  <w:sz w:val="20"/>
                                </w:rPr>
                              </w:pPr>
                              <w:r w:rsidRPr="005E2810">
                                <w:rPr>
                                  <w:sz w:val="20"/>
                                </w:rPr>
                                <w:t>Main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2905125" y="780866"/>
                            <a:ext cx="1076325" cy="752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5904" w:rsidRPr="005E2810" w:rsidRDefault="00F45904" w:rsidP="00CD6CCB">
                              <w:pPr>
                                <w:jc w:val="center"/>
                                <w:rPr>
                                  <w:b/>
                                  <w:i/>
                                  <w:sz w:val="20"/>
                                </w:rPr>
                              </w:pPr>
                              <w:r w:rsidRPr="005E2810">
                                <w:rPr>
                                  <w:b/>
                                  <w:i/>
                                  <w:sz w:val="20"/>
                                </w:rPr>
                                <w:t>October 2016</w:t>
                              </w:r>
                            </w:p>
                            <w:p w:rsidR="00F45904" w:rsidRPr="005E2810" w:rsidRDefault="00F45904" w:rsidP="00CD6CCB">
                              <w:pPr>
                                <w:jc w:val="center"/>
                                <w:rPr>
                                  <w:sz w:val="20"/>
                                </w:rPr>
                              </w:pPr>
                              <w:r w:rsidRPr="005E2810">
                                <w:rPr>
                                  <w:sz w:val="20"/>
                                </w:rPr>
                                <w:t>Moves out of property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Straight Connector 64"/>
                        <wps:cNvCnPr/>
                        <wps:spPr>
                          <a:xfrm>
                            <a:off x="609600" y="504826"/>
                            <a:ext cx="40957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609600" y="504826"/>
                            <a:ext cx="0" cy="1809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 name="Straight Connector 66"/>
                        <wps:cNvCnPr/>
                        <wps:spPr>
                          <a:xfrm>
                            <a:off x="3437550" y="504826"/>
                            <a:ext cx="0" cy="1809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3437551" y="1866900"/>
                            <a:ext cx="1267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 name="Straight Connector 68"/>
                        <wps:cNvCnPr/>
                        <wps:spPr>
                          <a:xfrm>
                            <a:off x="3437551" y="1866900"/>
                            <a:ext cx="0" cy="1809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 name="Text Box 69"/>
                        <wps:cNvSpPr txBox="1"/>
                        <wps:spPr>
                          <a:xfrm>
                            <a:off x="28575" y="828292"/>
                            <a:ext cx="1257300" cy="7909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5904" w:rsidRPr="005E2810" w:rsidRDefault="00F45904" w:rsidP="00CD6CCB">
                              <w:pPr>
                                <w:jc w:val="center"/>
                                <w:rPr>
                                  <w:b/>
                                  <w:i/>
                                  <w:sz w:val="20"/>
                                </w:rPr>
                              </w:pPr>
                              <w:r w:rsidRPr="005E2810">
                                <w:rPr>
                                  <w:b/>
                                  <w:i/>
                                  <w:sz w:val="20"/>
                                </w:rPr>
                                <w:t>January 2016</w:t>
                              </w:r>
                            </w:p>
                            <w:p w:rsidR="00F45904" w:rsidRPr="005E2810" w:rsidRDefault="00F45904" w:rsidP="00CD6CCB">
                              <w:pPr>
                                <w:jc w:val="center"/>
                                <w:rPr>
                                  <w:sz w:val="20"/>
                                </w:rPr>
                              </w:pPr>
                              <w:r w:rsidRPr="005E2810">
                                <w:rPr>
                                  <w:sz w:val="20"/>
                                </w:rPr>
                                <w:t>Purchases property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Straight Arrow Connector 70"/>
                        <wps:cNvCnPr/>
                        <wps:spPr>
                          <a:xfrm>
                            <a:off x="609600" y="438151"/>
                            <a:ext cx="2827950" cy="0"/>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a:off x="4705350" y="504826"/>
                            <a:ext cx="0" cy="1809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a:off x="4705351" y="1866900"/>
                            <a:ext cx="0" cy="1809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 name="Text Box 73"/>
                        <wps:cNvSpPr txBox="1"/>
                        <wps:spPr>
                          <a:xfrm>
                            <a:off x="3437551" y="1476375"/>
                            <a:ext cx="12678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5904" w:rsidRPr="005E2810" w:rsidRDefault="00F45904" w:rsidP="00CD6CCB">
                              <w:pPr>
                                <w:jc w:val="center"/>
                                <w:rPr>
                                  <w:sz w:val="20"/>
                                </w:rPr>
                              </w:pPr>
                              <w:r w:rsidRPr="005E2810">
                                <w:rPr>
                                  <w:sz w:val="20"/>
                                </w:rPr>
                                <w:t>Main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Text Box 74"/>
                        <wps:cNvSpPr txBox="1"/>
                        <wps:spPr>
                          <a:xfrm>
                            <a:off x="2905125" y="2171286"/>
                            <a:ext cx="1076325" cy="7904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5904" w:rsidRPr="005E2810" w:rsidRDefault="00F45904" w:rsidP="00CD6CCB">
                              <w:pPr>
                                <w:jc w:val="center"/>
                                <w:rPr>
                                  <w:b/>
                                  <w:i/>
                                  <w:sz w:val="20"/>
                                </w:rPr>
                              </w:pPr>
                              <w:r w:rsidRPr="005E2810">
                                <w:rPr>
                                  <w:b/>
                                  <w:i/>
                                  <w:sz w:val="20"/>
                                </w:rPr>
                                <w:t>October 2016</w:t>
                              </w:r>
                            </w:p>
                            <w:p w:rsidR="00F45904" w:rsidRPr="005E2810" w:rsidRDefault="00F45904" w:rsidP="00CD6CCB">
                              <w:pPr>
                                <w:jc w:val="center"/>
                                <w:rPr>
                                  <w:sz w:val="20"/>
                                </w:rPr>
                              </w:pPr>
                              <w:r w:rsidRPr="005E2810">
                                <w:rPr>
                                  <w:sz w:val="20"/>
                                </w:rPr>
                                <w:t>Purchases property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Straight Arrow Connector 75"/>
                        <wps:cNvCnPr/>
                        <wps:spPr>
                          <a:xfrm>
                            <a:off x="3437551" y="1800225"/>
                            <a:ext cx="1267800" cy="0"/>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76" name="Text Box 76"/>
                        <wps:cNvSpPr txBox="1"/>
                        <wps:spPr>
                          <a:xfrm>
                            <a:off x="3952875" y="2171700"/>
                            <a:ext cx="1295401"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5904" w:rsidRPr="005E2810" w:rsidRDefault="00F45904" w:rsidP="00CD6CCB">
                              <w:pPr>
                                <w:jc w:val="center"/>
                                <w:rPr>
                                  <w:b/>
                                  <w:i/>
                                  <w:sz w:val="20"/>
                                </w:rPr>
                              </w:pPr>
                              <w:r w:rsidRPr="005E2810">
                                <w:rPr>
                                  <w:b/>
                                  <w:i/>
                                  <w:sz w:val="20"/>
                                </w:rPr>
                                <w:t>December 2016</w:t>
                              </w:r>
                            </w:p>
                            <w:p w:rsidR="00F45904" w:rsidRPr="005E2810" w:rsidRDefault="00F45904" w:rsidP="00CD6CCB">
                              <w:pPr>
                                <w:jc w:val="center"/>
                                <w:rPr>
                                  <w:sz w:val="20"/>
                                </w:rPr>
                              </w:pPr>
                              <w:r w:rsidRPr="005E2810">
                                <w:rPr>
                                  <w:sz w:val="20"/>
                                </w:rPr>
                                <w:t>Sells property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Text Box 77"/>
                        <wps:cNvSpPr txBox="1"/>
                        <wps:spPr>
                          <a:xfrm>
                            <a:off x="3952874" y="780682"/>
                            <a:ext cx="1295401" cy="6953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5904" w:rsidRPr="005E2810" w:rsidRDefault="00F45904" w:rsidP="00CD6CCB">
                              <w:pPr>
                                <w:jc w:val="center"/>
                                <w:rPr>
                                  <w:b/>
                                  <w:i/>
                                  <w:sz w:val="20"/>
                                </w:rPr>
                              </w:pPr>
                              <w:r w:rsidRPr="005E2810">
                                <w:rPr>
                                  <w:b/>
                                  <w:i/>
                                  <w:sz w:val="20"/>
                                </w:rPr>
                                <w:t>December 2016</w:t>
                              </w:r>
                            </w:p>
                            <w:p w:rsidR="00F45904" w:rsidRPr="005E2810" w:rsidRDefault="00F45904" w:rsidP="00CD6CCB">
                              <w:pPr>
                                <w:jc w:val="center"/>
                                <w:rPr>
                                  <w:sz w:val="20"/>
                                </w:rPr>
                              </w:pPr>
                              <w:r w:rsidRPr="005E2810">
                                <w:rPr>
                                  <w:sz w:val="20"/>
                                </w:rPr>
                                <w:t>Sells property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Text Box 79"/>
                        <wps:cNvSpPr txBox="1"/>
                        <wps:spPr>
                          <a:xfrm>
                            <a:off x="28576" y="2895599"/>
                            <a:ext cx="5219700" cy="6477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5904" w:rsidRPr="005E2810" w:rsidRDefault="00F45904" w:rsidP="00CD6CCB">
                              <w:r w:rsidRPr="005E2810">
                                <w:t>The main home exception is available for both properties</w:t>
                              </w:r>
                              <w:r>
                                <w:t>.  P</w:t>
                              </w:r>
                              <w:r w:rsidRPr="005E2810">
                                <w:t>roperty 1 was the main home for 9 out of the 11 months the property was owned</w:t>
                              </w:r>
                              <w:r>
                                <w:t>.  P</w:t>
                              </w:r>
                              <w:r w:rsidRPr="005E2810">
                                <w:t>roperty 2 was the main home for the entire time it was owned.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80" o:spid="_x0000_s1090" editas="canvas" style="width:415.5pt;height:285.75pt;mso-position-horizontal-relative:char;mso-position-vertical-relative:line" coordsize="52768,3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">
                <v:shape id="_x0000_s1091" type="#_x0000_t75" style="position:absolute;width:52768;height:36290;visibility:visible;mso-wrap-style:square" stroked="t" strokecolor="black [3213]">
                  <v:fill o:detectmouseclick="t"/>
                  <v:path o:connecttype="none"/>
                </v:shape>
                <v:shape id="Text Box 62" o:spid="_x0000_s1092" type="#_x0000_t202" style="position:absolute;left:4191;top:1238;width:2952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PScUA&#10;AADbAAAADwAAAGRycy9kb3ducmV2LnhtbESPT2vCQBTE7wW/w/IEL0U3KlVJXUXE/sGbRi29PbKv&#10;STD7NmS3Sfz2bqHgcZiZ3zDLdWdK0VDtCssKxqMIBHFqdcGZglPyNlyAcB5ZY2mZFNzIwXrVe1pi&#10;rG3LB2qOPhMBwi5GBbn3VSylS3My6Ea2Ig7ej60N+iDrTOoa2wA3pZxE0UwaLDgs5FjRNqf0evw1&#10;Cr6fs6+9697P7fRlWu0+mmR+0YlSg363eQXhqfOP8H/7UyuYTe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w9JxQAAANsAAAAPAAAAAAAAAAAAAAAAAJgCAABkcnMv&#10;ZG93bnJldi54bWxQSwUGAAAAAAQABAD1AAAAigMAAAAA&#10;" fillcolor="white [3201]" stroked="f" strokeweight=".5pt">
                  <v:textbox>
                    <w:txbxContent>
                      <w:p w:rsidR="002B016D" w:rsidRPr="005E2810" w:rsidRDefault="002B016D" w:rsidP="00CD6CCB">
                        <w:pPr>
                          <w:jc w:val="center"/>
                          <w:rPr>
                            <w:sz w:val="20"/>
                          </w:rPr>
                        </w:pPr>
                        <w:r w:rsidRPr="005E2810">
                          <w:rPr>
                            <w:sz w:val="20"/>
                          </w:rPr>
                          <w:t>Main home</w:t>
                        </w:r>
                      </w:p>
                    </w:txbxContent>
                  </v:textbox>
                </v:shape>
                <v:shape id="Text Box 63" o:spid="_x0000_s1093" type="#_x0000_t202" style="position:absolute;left:29051;top:7808;width:10763;height:7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q0sUA&#10;AADbAAAADwAAAGRycy9kb3ducmV2LnhtbESPQWvCQBSE7wX/w/KEXopubKiV6CpSWi3earTF2yP7&#10;TILZtyG7TeK/dwsFj8PMfMMsVr2pREuNKy0rmIwjEMSZ1SXnCg7px2gGwnlkjZVlUnAlB6vl4GGB&#10;ibYdf1G797kIEHYJKii8rxMpXVaQQTe2NXHwzrYx6INscqkb7ALcVPI5iqbSYMlhocCa3grKLvtf&#10;o+D0lP/sXL85dvFLXL9v2/T1W6dKPQ779RyEp97fw//tT61gGsPf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6rSxQAAANsAAAAPAAAAAAAAAAAAAAAAAJgCAABkcnMv&#10;ZG93bnJldi54bWxQSwUGAAAAAAQABAD1AAAAigMAAAAA&#10;" fillcolor="white [3201]" stroked="f" strokeweight=".5pt">
                  <v:textbox>
                    <w:txbxContent>
                      <w:p w:rsidR="002B016D" w:rsidRPr="005E2810" w:rsidRDefault="002B016D" w:rsidP="00CD6CCB">
                        <w:pPr>
                          <w:jc w:val="center"/>
                          <w:rPr>
                            <w:b/>
                            <w:i/>
                            <w:sz w:val="20"/>
                          </w:rPr>
                        </w:pPr>
                        <w:r w:rsidRPr="005E2810">
                          <w:rPr>
                            <w:b/>
                            <w:i/>
                            <w:sz w:val="20"/>
                          </w:rPr>
                          <w:t>October 2016</w:t>
                        </w:r>
                      </w:p>
                      <w:p w:rsidR="002B016D" w:rsidRPr="005E2810" w:rsidRDefault="002B016D" w:rsidP="00CD6CCB">
                        <w:pPr>
                          <w:jc w:val="center"/>
                          <w:rPr>
                            <w:sz w:val="20"/>
                          </w:rPr>
                        </w:pPr>
                        <w:r w:rsidRPr="005E2810">
                          <w:rPr>
                            <w:sz w:val="20"/>
                          </w:rPr>
                          <w:t>Moves out of property 1</w:t>
                        </w:r>
                      </w:p>
                    </w:txbxContent>
                  </v:textbox>
                </v:shape>
                <v:line id="Straight Connector 64" o:spid="_x0000_s1094" style="position:absolute;visibility:visible;mso-wrap-style:square" from="6096,5048" to="47053,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RxAsYAAADbAAAADwAAAGRycy9kb3ducmV2LnhtbESPT2vCQBTE74V+h+UVvIhu/NNYo6sU&#10;RehFpNGDvT2yzyQ0+zZkVxO/vVsQehxm5jfMct2ZStyocaVlBaNhBII4s7rkXMHpuBt8gHAeWWNl&#10;mRTcycF69fqyxETblr/plvpcBAi7BBUU3teJlC4ryKAb2po4eBfbGPRBNrnUDbYBbio5jqJYGiw5&#10;LBRY06ag7De9GgXbU9ym8/x91h9N9t2cD+Pzz94o1XvrPhcgPHX+P/xsf2kF8RT+voQfIF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kcQLGAAAA2wAAAA8AAAAAAAAA&#10;AAAAAAAAoQIAAGRycy9kb3ducmV2LnhtbFBLBQYAAAAABAAEAPkAAACUAwAAAAA=&#10;" strokecolor="black [3213]" strokeweight="1pt"/>
                <v:line id="Straight Connector 65" o:spid="_x0000_s1095" style="position:absolute;visibility:visible;mso-wrap-style:square" from="6096,5048" to="609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jUmcUAAADbAAAADwAAAGRycy9kb3ducmV2LnhtbESPQWvCQBSE74L/YXmCF9GNirGmriIW&#10;oRcpjTnY2yP7mgSzb0N2a9J/3y0IHoeZ+YbZ7ntTizu1rrKsYD6LQBDnVldcKMgup+kLCOeRNdaW&#10;ScEvOdjvhoMtJtp2/En31BciQNglqKD0vkmkdHlJBt3MNsTB+7atQR9kW0jdYhfgppaLKIqlwYrD&#10;QokNHUvKb+mPUfCWxV26KVbryXx57jf8sbh+nY1S41F/eAXhqffP8KP9rhXEK/j/En6A3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jUmcUAAADbAAAADwAAAAAAAAAA&#10;AAAAAAChAgAAZHJzL2Rvd25yZXYueG1sUEsFBgAAAAAEAAQA+QAAAJMDAAAAAA==&#10;" strokecolor="black [3213]" strokeweight="1pt"/>
                <v:line id="Straight Connector 66" o:spid="_x0000_s1096" style="position:absolute;visibility:visible;mso-wrap-style:square" from="34375,5048" to="34375,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pK7sUAAADbAAAADwAAAGRycy9kb3ducmV2LnhtbESPQWvCQBSE7wX/w/IEL0U3Ko0aXaVU&#10;BC8iTT3o7ZF9JsHs25BdTfz3bqHQ4zAz3zCrTWcq8aDGlZYVjEcRCOLM6pJzBaef3XAOwnlkjZVl&#10;UvAkB5t1722FibYtf9Mj9bkIEHYJKii8rxMpXVaQQTeyNXHwrrYx6INscqkbbAPcVHISRbE0WHJY&#10;KLCmr4KyW3o3CranuE0X+cfsfTw9dAs+Ts6Xg1Fq0O8+lyA8df4//NfeawVxDL9fwg+Q6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XpK7sUAAADbAAAADwAAAAAAAAAA&#10;AAAAAAChAgAAZHJzL2Rvd25yZXYueG1sUEsFBgAAAAAEAAQA+QAAAJMDAAAAAA==&#10;" strokecolor="black [3213]" strokeweight="1pt"/>
                <v:line id="Straight Connector 67" o:spid="_x0000_s1097" style="position:absolute;visibility:visible;mso-wrap-style:square" from="34375,18669" to="47053,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bvdcUAAADbAAAADwAAAGRycy9kb3ducmV2LnhtbESPQWvCQBSE7wX/w/IEL6IbLUZNXUUU&#10;wYuURg/29si+JqHZtyG7mvTfu4LQ4zAz3zCrTWcqcafGlZYVTMYRCOLM6pJzBZfzYbQA4Tyyxsoy&#10;KfgjB5t1722FibYtf9E99bkIEHYJKii8rxMpXVaQQTe2NXHwfmxj0AfZ5FI32Aa4qeQ0imJpsOSw&#10;UGBNu4Ky3/RmFOwvcZsu89l8OHk/dUv+nF6/T0apQb/bfoDw1Pn/8Kt91AriOTy/h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bvdcUAAADbAAAADwAAAAAAAAAA&#10;AAAAAAChAgAAZHJzL2Rvd25yZXYueG1sUEsFBgAAAAAEAAQA+QAAAJMDAAAAAA==&#10;" strokecolor="black [3213]" strokeweight="1pt"/>
                <v:line id="Straight Connector 68" o:spid="_x0000_s1098" style="position:absolute;visibility:visible;mso-wrap-style:square" from="34375,18669" to="34375,20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l7B8MAAADbAAAADwAAAGRycy9kb3ducmV2LnhtbERPTWvCQBC9F/oflil4kbpJxFijqxSL&#10;0EsQo4f2NmTHJDQ7G7LbJP333UOhx8f73h0m04qBetdYVhAvIhDEpdUNVwpu19PzCwjnkTW2lknB&#10;Dzk47B8fdphpO/KFhsJXIoSwy1BB7X2XSenKmgy6he2IA3e3vUEfYF9J3eMYwk0rkyhKpcGGQ0ON&#10;HR1rKr+Kb6Pg7ZaOxaZarefxMp82fE4+PnOj1Oxpet2C8DT5f/Gf+10rSMPY8CX8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pewfDAAAA2wAAAA8AAAAAAAAAAAAA&#10;AAAAoQIAAGRycy9kb3ducmV2LnhtbFBLBQYAAAAABAAEAPkAAACRAwAAAAA=&#10;" strokecolor="black [3213]" strokeweight="1pt"/>
                <v:shape id="Text Box 69" o:spid="_x0000_s1099" type="#_x0000_t202" style="position:absolute;left:285;top:8282;width:12573;height:7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OMYA&#10;AADbAAAADwAAAGRycy9kb3ducmV2LnhtbESPT2vCQBTE74V+h+UVvIhuqvin0VVEWiveNNrS2yP7&#10;TEKzb0N2m8Rv3y0IPQ4z8xtmue5MKRqqXWFZwfMwAkGcWl1wpuCcvA3mIJxH1lhaJgU3crBePT4s&#10;Mda25SM1J5+JAGEXo4Lc+yqW0qU5GXRDWxEH72prgz7IOpO6xjbATSlHUTSVBgsOCzlWtM0p/T79&#10;GAVf/ezz4LrdpR1PxtXre5PMPnSiVO+p2yxAeOr8f/je3msF0xf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dOMYAAADbAAAADwAAAAAAAAAAAAAAAACYAgAAZHJz&#10;L2Rvd25yZXYueG1sUEsFBgAAAAAEAAQA9QAAAIsDAAAAAA==&#10;" fillcolor="white [3201]" stroked="f" strokeweight=".5pt">
                  <v:textbox>
                    <w:txbxContent>
                      <w:p w:rsidR="002B016D" w:rsidRPr="005E2810" w:rsidRDefault="002B016D" w:rsidP="00CD6CCB">
                        <w:pPr>
                          <w:jc w:val="center"/>
                          <w:rPr>
                            <w:b/>
                            <w:i/>
                            <w:sz w:val="20"/>
                          </w:rPr>
                        </w:pPr>
                        <w:r w:rsidRPr="005E2810">
                          <w:rPr>
                            <w:b/>
                            <w:i/>
                            <w:sz w:val="20"/>
                          </w:rPr>
                          <w:t>January 2016</w:t>
                        </w:r>
                      </w:p>
                      <w:p w:rsidR="002B016D" w:rsidRPr="005E2810" w:rsidRDefault="002B016D" w:rsidP="00CD6CCB">
                        <w:pPr>
                          <w:jc w:val="center"/>
                          <w:rPr>
                            <w:sz w:val="20"/>
                          </w:rPr>
                        </w:pPr>
                        <w:r w:rsidRPr="005E2810">
                          <w:rPr>
                            <w:sz w:val="20"/>
                          </w:rPr>
                          <w:t>Purchases property 1</w:t>
                        </w:r>
                      </w:p>
                    </w:txbxContent>
                  </v:textbox>
                </v:shape>
                <v:shapetype id="_x0000_t32" coordsize="21600,21600" o:spt="32" o:oned="t" path="m,l21600,21600e" filled="f">
                  <v:path arrowok="t" fillok="f" o:connecttype="none"/>
                  <o:lock v:ext="edit" shapetype="t"/>
                </v:shapetype>
                <v:shape id="Straight Arrow Connector 70" o:spid="_x0000_s1100" type="#_x0000_t32" style="position:absolute;left:6096;top:4381;width:282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pro74AAADbAAAADwAAAGRycy9kb3ducmV2LnhtbERPuY7CMBDtV+IfrEGiWxwoCAoYxClR&#10;bAOhoBzFQxKIx1FswPz9ukCifHr3fBlMI57UudqygtEwAUFcWF1zqeCc73+nIJxH1thYJgVvcrBc&#10;9H7mmGn74iM9T74UMYRdhgoq79tMSldUZNANbUscuavtDPoIu1LqDl8x3DRynCQTabDm2FBhS5uK&#10;ivvpYRSEdOX+1iX7dJdfHknQ2/VN35Qa9MNqBsJT8F/xx33QCtK4Pn6JP0Au/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BimujvgAAANsAAAAPAAAAAAAAAAAAAAAAAKEC&#10;AABkcnMvZG93bnJldi54bWxQSwUGAAAAAAQABAD5AAAAjAMAAAAA&#10;" strokecolor="black [3213]" strokeweight="1pt">
                  <v:stroke startarrow="open" endarrow="open"/>
                </v:shape>
                <v:line id="Straight Connector 71" o:spid="_x0000_s1101" style="position:absolute;visibility:visible;mso-wrap-style:square" from="47053,5048" to="4705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pER8YAAADbAAAADwAAAGRycy9kb3ducmV2LnhtbESPQWvCQBSE74X+h+UVvEizicVoUlcp&#10;LQUvIqYe7O2RfU1Cs29DdjXpv3cFocdhZr5hVpvRtOJCvWssK0iiGARxaXXDlYLj1+fzEoTzyBpb&#10;y6Tgjxxs1o8PK8y1HfhAl8JXIkDY5aig9r7LpXRlTQZdZDvi4P3Y3qAPsq+k7nEIcNPKWRyn0mDD&#10;YaHGjt5rKn+Ls1HwcUyHIqvmi2nyshsz3s9O3zuj1ORpfHsF4Wn0/+F7e6sVLBK4fQk/QK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9KREfGAAAA2wAAAA8AAAAAAAAA&#10;AAAAAAAAoQIAAGRycy9kb3ducmV2LnhtbFBLBQYAAAAABAAEAPkAAACUAwAAAAA=&#10;" strokecolor="black [3213]" strokeweight="1pt"/>
                <v:line id="Straight Connector 72" o:spid="_x0000_s1102" style="position:absolute;visibility:visible;mso-wrap-style:square" from="47053,18669" to="47053,20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jaMMYAAADbAAAADwAAAGRycy9kb3ducmV2LnhtbESPQWvCQBSE74X+h+UVepFmY4rRpK5S&#10;KoIXEVMP9vbIviah2bchuzXpv3cFocdhZr5hluvRtOJCvWssK5hGMQji0uqGKwWnz+3LAoTzyBpb&#10;y6TgjxysV48PS8y1HfhIl8JXIkDY5aig9r7LpXRlTQZdZDvi4H3b3qAPsq+k7nEIcNPKJI5TabDh&#10;sFBjRx81lT/Fr1GwOaVDkVWz+WT6uh8zPiTnr71R6vlpfH8D4Wn0/+F7e6cVzBO4fQk/QK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2jDGAAAA2wAAAA8AAAAAAAAA&#10;AAAAAAAAoQIAAGRycy9kb3ducmV2LnhtbFBLBQYAAAAABAAEAPkAAACUAwAAAAA=&#10;" strokecolor="black [3213]" strokeweight="1pt"/>
                <v:shape id="Text Box 73" o:spid="_x0000_s1103" type="#_x0000_t202" style="position:absolute;left:34375;top:14763;width:1267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8D8YA&#10;AADbAAAADwAAAGRycy9kb3ducmV2LnhtbESPT2vCQBTE7wW/w/IEL0U3bahK6ipS6h96q2kVb4/s&#10;axLMvg3ZNYnf3i0Uehxm5jfMYtWbSrTUuNKygqdJBII4s7rkXMFXuhnPQTiPrLGyTApu5GC1HDws&#10;MNG2409qDz4XAcIuQQWF93UipcsKMugmtiYO3o9tDPogm1zqBrsAN5V8jqKpNFhyWCiwpreCssvh&#10;ahScH/PTh+u33138EtfvuzadHXWq1GjYr19BeOr9f/ivvdcKZjH8fg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8D8YAAADbAAAADwAAAAAAAAAAAAAAAACYAgAAZHJz&#10;L2Rvd25yZXYueG1sUEsFBgAAAAAEAAQA9QAAAIsDAAAAAA==&#10;" fillcolor="white [3201]" stroked="f" strokeweight=".5pt">
                  <v:textbox>
                    <w:txbxContent>
                      <w:p w:rsidR="002B016D" w:rsidRPr="005E2810" w:rsidRDefault="002B016D" w:rsidP="00CD6CCB">
                        <w:pPr>
                          <w:jc w:val="center"/>
                          <w:rPr>
                            <w:sz w:val="20"/>
                          </w:rPr>
                        </w:pPr>
                        <w:r w:rsidRPr="005E2810">
                          <w:rPr>
                            <w:sz w:val="20"/>
                          </w:rPr>
                          <w:t>Main home</w:t>
                        </w:r>
                      </w:p>
                    </w:txbxContent>
                  </v:textbox>
                </v:shape>
                <v:shape id="Text Box 74" o:spid="_x0000_s1104" type="#_x0000_t202" style="position:absolute;left:29051;top:21712;width:10763;height:7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ke8YA&#10;AADbAAAADwAAAGRycy9kb3ducmV2LnhtbESPQWvCQBSE74L/YXmCF9FNa1slukop2kpvNbbi7ZF9&#10;JsHs25Bdk/TfdwuCx2FmvmGW686UoqHaFZYVPEwiEMSp1QVnCg7JdjwH4TyyxtIyKfglB+tVv7fE&#10;WNuWv6jZ+0wECLsYFeTeV7GULs3JoJvYijh4Z1sb9EHWmdQ1tgFuSvkYRS/SYMFhIceK3nJKL/ur&#10;UXAaZcdP171/t9PnabX5aJLZj06UGg661wUIT52/h2/tnVYwe4L/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eke8YAAADbAAAADwAAAAAAAAAAAAAAAACYAgAAZHJz&#10;L2Rvd25yZXYueG1sUEsFBgAAAAAEAAQA9QAAAIsDAAAAAA==&#10;" fillcolor="white [3201]" stroked="f" strokeweight=".5pt">
                  <v:textbox>
                    <w:txbxContent>
                      <w:p w:rsidR="002B016D" w:rsidRPr="005E2810" w:rsidRDefault="002B016D" w:rsidP="00CD6CCB">
                        <w:pPr>
                          <w:jc w:val="center"/>
                          <w:rPr>
                            <w:b/>
                            <w:i/>
                            <w:sz w:val="20"/>
                          </w:rPr>
                        </w:pPr>
                        <w:r w:rsidRPr="005E2810">
                          <w:rPr>
                            <w:b/>
                            <w:i/>
                            <w:sz w:val="20"/>
                          </w:rPr>
                          <w:t>October 2016</w:t>
                        </w:r>
                      </w:p>
                      <w:p w:rsidR="002B016D" w:rsidRPr="005E2810" w:rsidRDefault="002B016D" w:rsidP="00CD6CCB">
                        <w:pPr>
                          <w:jc w:val="center"/>
                          <w:rPr>
                            <w:sz w:val="20"/>
                          </w:rPr>
                        </w:pPr>
                        <w:r w:rsidRPr="005E2810">
                          <w:rPr>
                            <w:sz w:val="20"/>
                          </w:rPr>
                          <w:t>Purchases property 2</w:t>
                        </w:r>
                      </w:p>
                    </w:txbxContent>
                  </v:textbox>
                </v:shape>
                <v:shape id="Straight Arrow Connector 75" o:spid="_x0000_s1105" type="#_x0000_t32" style="position:absolute;left:34375;top:18002;width:126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IO8IAAADbAAAADwAAAGRycy9kb3ducmV2LnhtbESPT4vCMBTE74LfITzBm6YraKVrFP+C&#10;By+rHjw+mrdt3ealNFHjtzeCsMdhZn7DzBbB1OJOrassK/gaJiCIc6srLhScT7vBFITzyBpry6Tg&#10;SQ4W825nhpm2D/6h+9EXIkLYZaig9L7JpHR5SQbd0DbE0fu1rUEfZVtI3eIjwk0tR0kykQYrjgsl&#10;NrQuKf873oyCkC7dYVWwT7enyy0JerO66qtS/V5YfoPwFPx/+NPeawXpGN5f4g+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3IO8IAAADbAAAADwAAAAAAAAAAAAAA&#10;AAChAgAAZHJzL2Rvd25yZXYueG1sUEsFBgAAAAAEAAQA+QAAAJADAAAAAA==&#10;" strokecolor="black [3213]" strokeweight="1pt">
                  <v:stroke startarrow="open" endarrow="open"/>
                </v:shape>
                <v:shape id="Text Box 76" o:spid="_x0000_s1106" type="#_x0000_t202" style="position:absolute;left:39528;top:21717;width:12954;height:7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mfl8YA&#10;AADbAAAADwAAAGRycy9kb3ducmV2LnhtbESPT2vCQBTE7wW/w/IKXkrdqPiH1FVEbCveaqrS2yP7&#10;mgSzb0N2m8Rv7wpCj8PM/IZZrDpTioZqV1hWMBxEIIhTqwvOFHwn769zEM4jaywtk4IrOVgte08L&#10;jLVt+Yuag89EgLCLUUHufRVL6dKcDLqBrYiD92trgz7IOpO6xjbATSlHUTSVBgsOCzlWtMkpvRz+&#10;jIKfl+y8d93HsR1PxtX2s0lmJ50o1X/u1m8gPHX+P/xo77SC2RTu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mfl8YAAADbAAAADwAAAAAAAAAAAAAAAACYAgAAZHJz&#10;L2Rvd25yZXYueG1sUEsFBgAAAAAEAAQA9QAAAIsDAAAAAA==&#10;" fillcolor="white [3201]" stroked="f" strokeweight=".5pt">
                  <v:textbox>
                    <w:txbxContent>
                      <w:p w:rsidR="002B016D" w:rsidRPr="005E2810" w:rsidRDefault="002B016D" w:rsidP="00CD6CCB">
                        <w:pPr>
                          <w:jc w:val="center"/>
                          <w:rPr>
                            <w:b/>
                            <w:i/>
                            <w:sz w:val="20"/>
                          </w:rPr>
                        </w:pPr>
                        <w:r w:rsidRPr="005E2810">
                          <w:rPr>
                            <w:b/>
                            <w:i/>
                            <w:sz w:val="20"/>
                          </w:rPr>
                          <w:t>December 2016</w:t>
                        </w:r>
                      </w:p>
                      <w:p w:rsidR="002B016D" w:rsidRPr="005E2810" w:rsidRDefault="002B016D" w:rsidP="00CD6CCB">
                        <w:pPr>
                          <w:jc w:val="center"/>
                          <w:rPr>
                            <w:sz w:val="20"/>
                          </w:rPr>
                        </w:pPr>
                        <w:r w:rsidRPr="005E2810">
                          <w:rPr>
                            <w:sz w:val="20"/>
                          </w:rPr>
                          <w:t>Sells property 2</w:t>
                        </w:r>
                      </w:p>
                    </w:txbxContent>
                  </v:textbox>
                </v:shape>
                <v:shape id="Text Box 77" o:spid="_x0000_s1107" type="#_x0000_t202" style="position:absolute;left:39528;top:7806;width:12954;height:6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U6DMUA&#10;AADbAAAADwAAAGRycy9kb3ducmV2LnhtbESPQWvCQBSE74X+h+UVvJS6UWkj0VWKqBVvGrX09sg+&#10;k9Ds25Bdk/Tfu4VCj8PMfMPMl72pREuNKy0rGA0jEMSZ1SXnCk7p5mUKwnlkjZVlUvBDDpaLx4c5&#10;Jtp2fKD26HMRIOwSVFB4XydSuqwgg25oa+LgXW1j0AfZ5FI32AW4qeQ4it6kwZLDQoE1rQrKvo83&#10;o+DrOf/cu3577iavk3r90abxRadKDZ769xkIT73/D/+1d1pBHMPvl/A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1ToMxQAAANsAAAAPAAAAAAAAAAAAAAAAAJgCAABkcnMv&#10;ZG93bnJldi54bWxQSwUGAAAAAAQABAD1AAAAigMAAAAA&#10;" fillcolor="white [3201]" stroked="f" strokeweight=".5pt">
                  <v:textbox>
                    <w:txbxContent>
                      <w:p w:rsidR="002B016D" w:rsidRPr="005E2810" w:rsidRDefault="002B016D" w:rsidP="00CD6CCB">
                        <w:pPr>
                          <w:jc w:val="center"/>
                          <w:rPr>
                            <w:b/>
                            <w:i/>
                            <w:sz w:val="20"/>
                          </w:rPr>
                        </w:pPr>
                        <w:r w:rsidRPr="005E2810">
                          <w:rPr>
                            <w:b/>
                            <w:i/>
                            <w:sz w:val="20"/>
                          </w:rPr>
                          <w:t>December 2016</w:t>
                        </w:r>
                      </w:p>
                      <w:p w:rsidR="002B016D" w:rsidRPr="005E2810" w:rsidRDefault="002B016D" w:rsidP="00CD6CCB">
                        <w:pPr>
                          <w:jc w:val="center"/>
                          <w:rPr>
                            <w:sz w:val="20"/>
                          </w:rPr>
                        </w:pPr>
                        <w:r w:rsidRPr="005E2810">
                          <w:rPr>
                            <w:sz w:val="20"/>
                          </w:rPr>
                          <w:t>Sells property 1</w:t>
                        </w:r>
                      </w:p>
                    </w:txbxContent>
                  </v:textbox>
                </v:shape>
                <v:shape id="Text Box 79" o:spid="_x0000_s1108" type="#_x0000_t202" style="position:absolute;left:285;top:28955;width:52197;height:6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L5cYA&#10;AADbAAAADwAAAGRycy9kb3ducmV2LnhtbESPQWvCQBSE70L/w/IKXkQ3Vao2uopIa8WbRlt6e2Sf&#10;SWj2bchuk/jvu4WCx2FmvmGW686UoqHaFZYVPI0iEMSp1QVnCs7J23AOwnlkjaVlUnAjB+vVQ2+J&#10;sbYtH6k5+UwECLsYFeTeV7GULs3JoBvZijh4V1sb9EHWmdQ1tgFuSjmOoqk0WHBYyLGibU7p9+nH&#10;KPgaZJ8H1+0u7eR5Ur2+N8nsQydK9R+7zQKEp87fw//tvVYwe4G/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YL5cYAAADbAAAADwAAAAAAAAAAAAAAAACYAgAAZHJz&#10;L2Rvd25yZXYueG1sUEsFBgAAAAAEAAQA9QAAAIsDAAAAAA==&#10;" fillcolor="white [3201]" stroked="f" strokeweight=".5pt">
                  <v:textbox>
                    <w:txbxContent>
                      <w:p w:rsidR="002B016D" w:rsidRPr="005E2810" w:rsidRDefault="002B016D" w:rsidP="00CD6CCB">
                        <w:r w:rsidRPr="005E2810">
                          <w:t>The main home exception is available for both properties</w:t>
                        </w:r>
                        <w:r>
                          <w:t>.  P</w:t>
                        </w:r>
                        <w:r w:rsidRPr="005E2810">
                          <w:t>roperty 1 was the main home for 9 out of the 11 months the property was owned</w:t>
                        </w:r>
                        <w:r>
                          <w:t>.  P</w:t>
                        </w:r>
                        <w:r w:rsidRPr="005E2810">
                          <w:t>roperty 2 was the main home for the entire time it was owned.</w:t>
                        </w:r>
                      </w:p>
                    </w:txbxContent>
                  </v:textbox>
                </v:shape>
                <w10:anchorlock/>
              </v:group>
            </w:pict>
          </mc:Fallback>
        </mc:AlternateContent>
      </w:r>
    </w:p>
    <w:p w:rsidR="00CD6CCB" w:rsidRDefault="00CD6CCB" w:rsidP="00CD6CCB"/>
    <w:p w:rsidR="003D4578" w:rsidRDefault="003D4578" w:rsidP="00CD6CCB">
      <w:pPr>
        <w:rPr>
          <w:b/>
        </w:rPr>
      </w:pPr>
      <w:r>
        <w:rPr>
          <w:b/>
        </w:rPr>
        <w:t>Main home and trusts</w:t>
      </w:r>
    </w:p>
    <w:p w:rsidR="003D4578" w:rsidRPr="00E5747E" w:rsidRDefault="003D4578" w:rsidP="00CD6CCB"/>
    <w:p w:rsidR="003D4578" w:rsidRDefault="003D4578" w:rsidP="00CD6CCB">
      <w:r>
        <w:t>Generally, trusts are able to use the main home exception when a beneficiary of the trust uses the property as their main home.</w:t>
      </w:r>
    </w:p>
    <w:p w:rsidR="003D4578" w:rsidRDefault="003D4578" w:rsidP="00CD6CCB"/>
    <w:p w:rsidR="003D4578" w:rsidRPr="003D4578" w:rsidRDefault="003D4578" w:rsidP="00CD6CCB">
      <w:r>
        <w:t xml:space="preserve">However, trusts </w:t>
      </w:r>
      <w:r w:rsidR="00966C18">
        <w:t xml:space="preserve">cannot </w:t>
      </w:r>
      <w:r>
        <w:t>use the main home exception where a principal settlor of the trust has another main home</w:t>
      </w:r>
      <w:r w:rsidR="00F16E3E">
        <w:t>.  T</w:t>
      </w:r>
      <w:r>
        <w:t xml:space="preserve">his is to ensure that people cannot </w:t>
      </w:r>
      <w:r w:rsidR="00966C18">
        <w:t xml:space="preserve">use </w:t>
      </w:r>
      <w:r>
        <w:t>the main home exception multiple times through the use of trusts.</w:t>
      </w:r>
    </w:p>
    <w:p w:rsidR="003D4578" w:rsidRDefault="003D4578" w:rsidP="00CD6CCB"/>
    <w:p w:rsidR="00CD6CCB" w:rsidRPr="00CD6CCB" w:rsidRDefault="00CD6CCB" w:rsidP="00B62F4D">
      <w:pPr>
        <w:pBdr>
          <w:top w:val="single" w:sz="4" w:space="10" w:color="auto"/>
          <w:left w:val="single" w:sz="4" w:space="10" w:color="auto"/>
          <w:bottom w:val="single" w:sz="4" w:space="10" w:color="auto"/>
          <w:right w:val="single" w:sz="4" w:space="10" w:color="auto"/>
        </w:pBdr>
        <w:rPr>
          <w:b/>
          <w:i/>
        </w:rPr>
      </w:pPr>
      <w:r w:rsidRPr="00CD6CCB">
        <w:rPr>
          <w:b/>
          <w:i/>
        </w:rPr>
        <w:t>Trusts – student flat</w:t>
      </w:r>
    </w:p>
    <w:p w:rsidR="00CD6CCB" w:rsidRPr="005E2810" w:rsidRDefault="00CD6CCB" w:rsidP="00B62F4D">
      <w:pPr>
        <w:pBdr>
          <w:top w:val="single" w:sz="4" w:space="10" w:color="auto"/>
          <w:left w:val="single" w:sz="4" w:space="10" w:color="auto"/>
          <w:bottom w:val="single" w:sz="4" w:space="10" w:color="auto"/>
          <w:right w:val="single" w:sz="4" w:space="10" w:color="auto"/>
        </w:pBdr>
      </w:pPr>
    </w:p>
    <w:p w:rsidR="00CD6CCB" w:rsidRDefault="00CD6CCB" w:rsidP="00B62F4D">
      <w:pPr>
        <w:pBdr>
          <w:top w:val="single" w:sz="4" w:space="10" w:color="auto"/>
          <w:left w:val="single" w:sz="4" w:space="10" w:color="auto"/>
          <w:bottom w:val="single" w:sz="4" w:space="10" w:color="auto"/>
          <w:right w:val="single" w:sz="4" w:space="10" w:color="auto"/>
        </w:pBdr>
      </w:pPr>
      <w:r w:rsidRPr="005E2810">
        <w:t>Dave has two properties, a family home which he lives in, and a student flat which his son lives in while studying</w:t>
      </w:r>
      <w:r w:rsidR="00F16E3E">
        <w:t>.  D</w:t>
      </w:r>
      <w:r w:rsidRPr="005E2810">
        <w:t>ave settles the student flat on a trust and makes his son a discretionary beneficiary of the trust.</w:t>
      </w:r>
    </w:p>
    <w:p w:rsidR="00CD6CCB" w:rsidRPr="005E2810" w:rsidRDefault="00CD6CCB" w:rsidP="00B62F4D">
      <w:pPr>
        <w:pBdr>
          <w:top w:val="single" w:sz="4" w:space="10" w:color="auto"/>
          <w:left w:val="single" w:sz="4" w:space="10" w:color="auto"/>
          <w:bottom w:val="single" w:sz="4" w:space="10" w:color="auto"/>
          <w:right w:val="single" w:sz="4" w:space="10" w:color="auto"/>
        </w:pBdr>
      </w:pPr>
    </w:p>
    <w:p w:rsidR="00CD6CCB" w:rsidRDefault="00CD6CCB" w:rsidP="00B62F4D">
      <w:pPr>
        <w:pBdr>
          <w:top w:val="single" w:sz="4" w:space="10" w:color="auto"/>
          <w:left w:val="single" w:sz="4" w:space="10" w:color="auto"/>
          <w:bottom w:val="single" w:sz="4" w:space="10" w:color="auto"/>
          <w:right w:val="single" w:sz="4" w:space="10" w:color="auto"/>
        </w:pBdr>
      </w:pPr>
      <w:r w:rsidRPr="005E2810">
        <w:t>The trust cannot use the main home exception because the principal settlor of the trust (Dave) has another main home.</w:t>
      </w:r>
    </w:p>
    <w:p w:rsidR="00CD6CCB" w:rsidRPr="00E247F5" w:rsidRDefault="00CD6CCB" w:rsidP="00CD6CCB"/>
    <w:p w:rsidR="00E247F5" w:rsidRDefault="00E247F5">
      <w:pPr>
        <w:jc w:val="left"/>
        <w:rPr>
          <w:b/>
        </w:rPr>
      </w:pPr>
      <w:r>
        <w:rPr>
          <w:b/>
        </w:rPr>
        <w:br w:type="page"/>
      </w:r>
    </w:p>
    <w:p w:rsidR="00CD6CCB" w:rsidRDefault="00CD6CCB" w:rsidP="00CD6CCB">
      <w:pPr>
        <w:rPr>
          <w:b/>
        </w:rPr>
      </w:pPr>
      <w:r w:rsidRPr="00CF731A">
        <w:rPr>
          <w:b/>
        </w:rPr>
        <w:t>Deductions</w:t>
      </w:r>
    </w:p>
    <w:p w:rsidR="00CD6CCB" w:rsidRPr="00E247F5" w:rsidRDefault="00CD6CCB" w:rsidP="00CD6CCB"/>
    <w:p w:rsidR="00CD6CCB" w:rsidRDefault="00CD6CCB" w:rsidP="00B62F4D">
      <w:pPr>
        <w:pBdr>
          <w:top w:val="single" w:sz="4" w:space="10" w:color="auto"/>
          <w:left w:val="single" w:sz="4" w:space="10" w:color="auto"/>
          <w:bottom w:val="single" w:sz="4" w:space="10" w:color="auto"/>
          <w:right w:val="single" w:sz="4" w:space="10" w:color="auto"/>
        </w:pBdr>
        <w:rPr>
          <w:b/>
          <w:i/>
        </w:rPr>
      </w:pPr>
      <w:r w:rsidRPr="00CF731A">
        <w:rPr>
          <w:b/>
          <w:i/>
        </w:rPr>
        <w:t>Rental property</w:t>
      </w:r>
    </w:p>
    <w:p w:rsidR="003D4578" w:rsidRPr="00E247F5" w:rsidRDefault="003D4578" w:rsidP="00B62F4D">
      <w:pPr>
        <w:pBdr>
          <w:top w:val="single" w:sz="4" w:space="10" w:color="auto"/>
          <w:left w:val="single" w:sz="4" w:space="10" w:color="auto"/>
          <w:bottom w:val="single" w:sz="4" w:space="10" w:color="auto"/>
          <w:right w:val="single" w:sz="4" w:space="10" w:color="auto"/>
        </w:pBdr>
      </w:pPr>
    </w:p>
    <w:p w:rsidR="003D4578" w:rsidRPr="003D4578" w:rsidRDefault="003D4578" w:rsidP="00B62F4D">
      <w:pPr>
        <w:pBdr>
          <w:top w:val="single" w:sz="4" w:space="10" w:color="auto"/>
          <w:left w:val="single" w:sz="4" w:space="10" w:color="auto"/>
          <w:bottom w:val="single" w:sz="4" w:space="10" w:color="auto"/>
          <w:right w:val="single" w:sz="4" w:space="10" w:color="auto"/>
        </w:pBdr>
      </w:pPr>
      <w:r>
        <w:t>Carla has sold a rental property that is subject to the bright-line test.</w:t>
      </w:r>
    </w:p>
    <w:p w:rsidR="003D4578" w:rsidRPr="00E247F5" w:rsidRDefault="003D4578" w:rsidP="00B62F4D">
      <w:pPr>
        <w:pBdr>
          <w:top w:val="single" w:sz="4" w:space="10" w:color="auto"/>
          <w:left w:val="single" w:sz="4" w:space="10" w:color="auto"/>
          <w:bottom w:val="single" w:sz="4" w:space="10" w:color="auto"/>
          <w:right w:val="single" w:sz="4" w:space="10" w:color="auto"/>
        </w:pBdr>
      </w:pPr>
    </w:p>
    <w:p w:rsidR="00CD6CCB" w:rsidRPr="005E2810" w:rsidRDefault="00CD6CCB" w:rsidP="00B62F4D">
      <w:pPr>
        <w:pBdr>
          <w:top w:val="single" w:sz="4" w:space="10" w:color="auto"/>
          <w:left w:val="single" w:sz="4" w:space="10" w:color="auto"/>
          <w:bottom w:val="single" w:sz="4" w:space="10" w:color="auto"/>
          <w:right w:val="single" w:sz="4" w:space="10" w:color="auto"/>
        </w:pBdr>
      </w:pPr>
      <w:r w:rsidRPr="00CD6CCB">
        <w:rPr>
          <w:i/>
        </w:rPr>
        <w:t>May 2016:</w:t>
      </w:r>
      <w:r w:rsidRPr="005E2810">
        <w:t xml:space="preserve"> Carla buys rental property for $500k</w:t>
      </w:r>
    </w:p>
    <w:p w:rsidR="00CD6CCB" w:rsidRPr="005E2810" w:rsidRDefault="00CD6CCB" w:rsidP="00B62F4D">
      <w:pPr>
        <w:pBdr>
          <w:top w:val="single" w:sz="4" w:space="10" w:color="auto"/>
          <w:left w:val="single" w:sz="4" w:space="10" w:color="auto"/>
          <w:bottom w:val="single" w:sz="4" w:space="10" w:color="auto"/>
          <w:right w:val="single" w:sz="4" w:space="10" w:color="auto"/>
        </w:pBdr>
      </w:pPr>
      <w:r w:rsidRPr="00CD6CCB">
        <w:rPr>
          <w:i/>
        </w:rPr>
        <w:t>May 2016</w:t>
      </w:r>
      <w:r w:rsidR="00440AE1">
        <w:rPr>
          <w:i/>
        </w:rPr>
        <w:t xml:space="preserve"> to </w:t>
      </w:r>
      <w:r w:rsidRPr="00CD6CCB">
        <w:rPr>
          <w:i/>
        </w:rPr>
        <w:t>31 March 2017:</w:t>
      </w:r>
      <w:r w:rsidRPr="005E2810">
        <w:t xml:space="preserve"> Carla pays interest of $30k and rates of $5k</w:t>
      </w:r>
    </w:p>
    <w:p w:rsidR="00CD6CCB" w:rsidRPr="005E2810" w:rsidRDefault="00CD6CCB" w:rsidP="00B62F4D">
      <w:pPr>
        <w:pBdr>
          <w:top w:val="single" w:sz="4" w:space="10" w:color="auto"/>
          <w:left w:val="single" w:sz="4" w:space="10" w:color="auto"/>
          <w:bottom w:val="single" w:sz="4" w:space="10" w:color="auto"/>
          <w:right w:val="single" w:sz="4" w:space="10" w:color="auto"/>
        </w:pBdr>
      </w:pPr>
      <w:r w:rsidRPr="00CD6CCB">
        <w:rPr>
          <w:i/>
        </w:rPr>
        <w:t>July 2016:</w:t>
      </w:r>
      <w:r w:rsidRPr="005E2810">
        <w:t xml:space="preserve"> Carla gets a new roof put on the building at a cost of</w:t>
      </w:r>
      <w:r w:rsidR="00C91D5C">
        <w:t xml:space="preserve"> </w:t>
      </w:r>
      <w:r w:rsidRPr="005E2810">
        <w:t>$80k</w:t>
      </w:r>
    </w:p>
    <w:p w:rsidR="00CD6CCB" w:rsidRPr="005E2810" w:rsidRDefault="00440AE1" w:rsidP="00B62F4D">
      <w:pPr>
        <w:pBdr>
          <w:top w:val="single" w:sz="4" w:space="10" w:color="auto"/>
          <w:left w:val="single" w:sz="4" w:space="10" w:color="auto"/>
          <w:bottom w:val="single" w:sz="4" w:space="10" w:color="auto"/>
          <w:right w:val="single" w:sz="4" w:space="10" w:color="auto"/>
        </w:pBdr>
      </w:pPr>
      <w:r>
        <w:rPr>
          <w:i/>
        </w:rPr>
        <w:t xml:space="preserve">2 </w:t>
      </w:r>
      <w:r w:rsidR="00CD6CCB" w:rsidRPr="00CD6CCB">
        <w:rPr>
          <w:i/>
        </w:rPr>
        <w:t>Apri</w:t>
      </w:r>
      <w:r>
        <w:rPr>
          <w:i/>
        </w:rPr>
        <w:t>l</w:t>
      </w:r>
      <w:r w:rsidR="00CD6CCB" w:rsidRPr="00CD6CCB">
        <w:rPr>
          <w:i/>
        </w:rPr>
        <w:t xml:space="preserve"> 2017:</w:t>
      </w:r>
      <w:r w:rsidR="00CD6CCB" w:rsidRPr="005E2810">
        <w:t xml:space="preserve"> Carla sells the property for $800k</w:t>
      </w:r>
    </w:p>
    <w:p w:rsidR="00CD6CCB" w:rsidRPr="005E2810" w:rsidRDefault="00CD6CCB" w:rsidP="00B62F4D">
      <w:pPr>
        <w:pBdr>
          <w:top w:val="single" w:sz="4" w:space="10" w:color="auto"/>
          <w:left w:val="single" w:sz="4" w:space="10" w:color="auto"/>
          <w:bottom w:val="single" w:sz="4" w:space="10" w:color="auto"/>
          <w:right w:val="single" w:sz="4" w:space="10" w:color="auto"/>
        </w:pBdr>
      </w:pPr>
    </w:p>
    <w:p w:rsidR="00CD6CCB" w:rsidRPr="005E2810" w:rsidRDefault="00CD6CCB" w:rsidP="00B62F4D">
      <w:pPr>
        <w:pBdr>
          <w:top w:val="single" w:sz="4" w:space="10" w:color="auto"/>
          <w:left w:val="single" w:sz="4" w:space="10" w:color="auto"/>
          <w:bottom w:val="single" w:sz="4" w:space="10" w:color="auto"/>
          <w:right w:val="single" w:sz="4" w:space="10" w:color="auto"/>
        </w:pBdr>
      </w:pPr>
      <w:r w:rsidRPr="00CD6CCB">
        <w:rPr>
          <w:i/>
        </w:rPr>
        <w:t>Deductions in 2016</w:t>
      </w:r>
      <w:r w:rsidR="00903D08">
        <w:rPr>
          <w:i/>
        </w:rPr>
        <w:t>–</w:t>
      </w:r>
      <w:r w:rsidRPr="00CD6CCB">
        <w:rPr>
          <w:i/>
        </w:rPr>
        <w:t>17 year</w:t>
      </w:r>
      <w:r w:rsidRPr="005E2810">
        <w:t xml:space="preserve"> = $35k (interest and rates)</w:t>
      </w:r>
    </w:p>
    <w:p w:rsidR="00CD6CCB" w:rsidRPr="005E2810" w:rsidRDefault="00CD6CCB" w:rsidP="00B62F4D">
      <w:pPr>
        <w:pBdr>
          <w:top w:val="single" w:sz="4" w:space="10" w:color="auto"/>
          <w:left w:val="single" w:sz="4" w:space="10" w:color="auto"/>
          <w:bottom w:val="single" w:sz="4" w:space="10" w:color="auto"/>
          <w:right w:val="single" w:sz="4" w:space="10" w:color="auto"/>
        </w:pBdr>
      </w:pPr>
      <w:r w:rsidRPr="00CD6CCB">
        <w:rPr>
          <w:i/>
        </w:rPr>
        <w:t>Deductions in 2017</w:t>
      </w:r>
      <w:r w:rsidR="00903D08">
        <w:rPr>
          <w:i/>
        </w:rPr>
        <w:t>–</w:t>
      </w:r>
      <w:r w:rsidR="00C91D5C" w:rsidRPr="00CD6CCB">
        <w:rPr>
          <w:i/>
        </w:rPr>
        <w:t>18 year</w:t>
      </w:r>
      <w:r w:rsidRPr="005E2810">
        <w:rPr>
          <w:b/>
          <w:i/>
        </w:rPr>
        <w:t xml:space="preserve"> </w:t>
      </w:r>
      <w:r w:rsidRPr="005E2810">
        <w:t>= $580k (Cost base of property = house and roof)</w:t>
      </w:r>
    </w:p>
    <w:p w:rsidR="00CD6CCB" w:rsidRPr="005E2810" w:rsidRDefault="00CD6CCB" w:rsidP="00B62F4D">
      <w:pPr>
        <w:pBdr>
          <w:top w:val="single" w:sz="4" w:space="10" w:color="auto"/>
          <w:left w:val="single" w:sz="4" w:space="10" w:color="auto"/>
          <w:bottom w:val="single" w:sz="4" w:space="10" w:color="auto"/>
          <w:right w:val="single" w:sz="4" w:space="10" w:color="auto"/>
        </w:pBdr>
      </w:pPr>
      <w:r w:rsidRPr="00CD6CCB">
        <w:rPr>
          <w:i/>
        </w:rPr>
        <w:t>Income in 2017</w:t>
      </w:r>
      <w:r w:rsidR="00903D08">
        <w:rPr>
          <w:i/>
        </w:rPr>
        <w:t>–</w:t>
      </w:r>
      <w:r w:rsidRPr="00CD6CCB">
        <w:rPr>
          <w:i/>
        </w:rPr>
        <w:t xml:space="preserve">18 year </w:t>
      </w:r>
      <w:r w:rsidRPr="005E2810">
        <w:t>= $800k</w:t>
      </w:r>
    </w:p>
    <w:p w:rsidR="00CD6CCB" w:rsidRPr="00E247F5" w:rsidRDefault="00CD6CCB" w:rsidP="00CD6CCB"/>
    <w:p w:rsidR="00CD6CCB" w:rsidRDefault="00CD6CCB" w:rsidP="00B62F4D">
      <w:pPr>
        <w:pBdr>
          <w:top w:val="single" w:sz="4" w:space="10" w:color="auto"/>
          <w:left w:val="single" w:sz="4" w:space="10" w:color="auto"/>
          <w:bottom w:val="single" w:sz="4" w:space="10" w:color="auto"/>
          <w:right w:val="single" w:sz="4" w:space="10" w:color="auto"/>
        </w:pBdr>
        <w:rPr>
          <w:b/>
          <w:i/>
        </w:rPr>
      </w:pPr>
      <w:r w:rsidRPr="00CD6CCB">
        <w:rPr>
          <w:b/>
          <w:i/>
        </w:rPr>
        <w:t>Beach house</w:t>
      </w:r>
    </w:p>
    <w:p w:rsidR="00CD6CCB" w:rsidRPr="00E247F5" w:rsidRDefault="00CD6CCB" w:rsidP="00B62F4D">
      <w:pPr>
        <w:pBdr>
          <w:top w:val="single" w:sz="4" w:space="10" w:color="auto"/>
          <w:left w:val="single" w:sz="4" w:space="10" w:color="auto"/>
          <w:bottom w:val="single" w:sz="4" w:space="10" w:color="auto"/>
          <w:right w:val="single" w:sz="4" w:space="10" w:color="auto"/>
        </w:pBdr>
      </w:pPr>
    </w:p>
    <w:p w:rsidR="003D4578" w:rsidRPr="003D4578" w:rsidRDefault="003D4578" w:rsidP="00B62F4D">
      <w:pPr>
        <w:pBdr>
          <w:top w:val="single" w:sz="4" w:space="10" w:color="auto"/>
          <w:left w:val="single" w:sz="4" w:space="10" w:color="auto"/>
          <w:bottom w:val="single" w:sz="4" w:space="10" w:color="auto"/>
          <w:right w:val="single" w:sz="4" w:space="10" w:color="auto"/>
        </w:pBdr>
      </w:pPr>
      <w:r w:rsidRPr="003D4578">
        <w:t>Denise has sold a private beach house that is subject to the bright-line test.</w:t>
      </w:r>
    </w:p>
    <w:p w:rsidR="003D4578" w:rsidRPr="00E247F5" w:rsidRDefault="003D4578" w:rsidP="00B62F4D">
      <w:pPr>
        <w:pBdr>
          <w:top w:val="single" w:sz="4" w:space="10" w:color="auto"/>
          <w:left w:val="single" w:sz="4" w:space="10" w:color="auto"/>
          <w:bottom w:val="single" w:sz="4" w:space="10" w:color="auto"/>
          <w:right w:val="single" w:sz="4" w:space="10" w:color="auto"/>
        </w:pBdr>
      </w:pPr>
    </w:p>
    <w:p w:rsidR="00CD6CCB" w:rsidRPr="005E2810" w:rsidRDefault="00CD6CCB" w:rsidP="00B62F4D">
      <w:pPr>
        <w:pBdr>
          <w:top w:val="single" w:sz="4" w:space="10" w:color="auto"/>
          <w:left w:val="single" w:sz="4" w:space="10" w:color="auto"/>
          <w:bottom w:val="single" w:sz="4" w:space="10" w:color="auto"/>
          <w:right w:val="single" w:sz="4" w:space="10" w:color="auto"/>
        </w:pBdr>
      </w:pPr>
      <w:r w:rsidRPr="00CD6CCB">
        <w:rPr>
          <w:i/>
        </w:rPr>
        <w:t>May 2016:</w:t>
      </w:r>
      <w:r w:rsidRPr="005E2810">
        <w:t xml:space="preserve"> Denise buys beach house for $500k solely for private use</w:t>
      </w:r>
    </w:p>
    <w:p w:rsidR="00CD6CCB" w:rsidRPr="005E2810" w:rsidRDefault="00CD6CCB" w:rsidP="00B62F4D">
      <w:pPr>
        <w:pBdr>
          <w:top w:val="single" w:sz="4" w:space="10" w:color="auto"/>
          <w:left w:val="single" w:sz="4" w:space="10" w:color="auto"/>
          <w:bottom w:val="single" w:sz="4" w:space="10" w:color="auto"/>
          <w:right w:val="single" w:sz="4" w:space="10" w:color="auto"/>
        </w:pBdr>
      </w:pPr>
      <w:r w:rsidRPr="00CD6CCB">
        <w:rPr>
          <w:i/>
        </w:rPr>
        <w:t>May 2016</w:t>
      </w:r>
      <w:r w:rsidR="00440AE1">
        <w:rPr>
          <w:i/>
        </w:rPr>
        <w:t xml:space="preserve"> to </w:t>
      </w:r>
      <w:r w:rsidRPr="00CD6CCB">
        <w:rPr>
          <w:i/>
        </w:rPr>
        <w:t>31 March 2017:</w:t>
      </w:r>
      <w:r w:rsidRPr="005E2810">
        <w:t xml:space="preserve"> Denise pays interest of $30k and rates of $5k</w:t>
      </w:r>
    </w:p>
    <w:p w:rsidR="00CD6CCB" w:rsidRPr="005E2810" w:rsidRDefault="00CD6CCB" w:rsidP="00B62F4D">
      <w:pPr>
        <w:pBdr>
          <w:top w:val="single" w:sz="4" w:space="10" w:color="auto"/>
          <w:left w:val="single" w:sz="4" w:space="10" w:color="auto"/>
          <w:bottom w:val="single" w:sz="4" w:space="10" w:color="auto"/>
          <w:right w:val="single" w:sz="4" w:space="10" w:color="auto"/>
        </w:pBdr>
      </w:pPr>
      <w:r w:rsidRPr="00CD6CCB">
        <w:rPr>
          <w:i/>
        </w:rPr>
        <w:t>July 2016:</w:t>
      </w:r>
      <w:r w:rsidRPr="005E2810">
        <w:t xml:space="preserve"> Denise gets a new roof put on the building at a cost of</w:t>
      </w:r>
      <w:r w:rsidR="00C91D5C">
        <w:t xml:space="preserve"> </w:t>
      </w:r>
      <w:r w:rsidRPr="005E2810">
        <w:t>$80k</w:t>
      </w:r>
    </w:p>
    <w:p w:rsidR="00CD6CCB" w:rsidRPr="005E2810" w:rsidRDefault="00440AE1" w:rsidP="00B62F4D">
      <w:pPr>
        <w:pBdr>
          <w:top w:val="single" w:sz="4" w:space="10" w:color="auto"/>
          <w:left w:val="single" w:sz="4" w:space="10" w:color="auto"/>
          <w:bottom w:val="single" w:sz="4" w:space="10" w:color="auto"/>
          <w:right w:val="single" w:sz="4" w:space="10" w:color="auto"/>
        </w:pBdr>
      </w:pPr>
      <w:r>
        <w:rPr>
          <w:i/>
        </w:rPr>
        <w:t xml:space="preserve">2 </w:t>
      </w:r>
      <w:r w:rsidR="00CD6CCB" w:rsidRPr="00CD6CCB">
        <w:rPr>
          <w:i/>
        </w:rPr>
        <w:t>April 2017</w:t>
      </w:r>
      <w:r w:rsidR="00CD6CCB" w:rsidRPr="005E2810">
        <w:rPr>
          <w:b/>
        </w:rPr>
        <w:t>:</w:t>
      </w:r>
      <w:r w:rsidR="00CD6CCB" w:rsidRPr="005E2810">
        <w:t xml:space="preserve"> Denise sells the beach house for $800k</w:t>
      </w:r>
    </w:p>
    <w:p w:rsidR="00CD6CCB" w:rsidRPr="005E2810" w:rsidRDefault="00CD6CCB" w:rsidP="00B62F4D">
      <w:pPr>
        <w:pBdr>
          <w:top w:val="single" w:sz="4" w:space="10" w:color="auto"/>
          <w:left w:val="single" w:sz="4" w:space="10" w:color="auto"/>
          <w:bottom w:val="single" w:sz="4" w:space="10" w:color="auto"/>
          <w:right w:val="single" w:sz="4" w:space="10" w:color="auto"/>
        </w:pBdr>
      </w:pPr>
    </w:p>
    <w:p w:rsidR="00CD6CCB" w:rsidRPr="005E2810" w:rsidRDefault="00CD6CCB" w:rsidP="00B62F4D">
      <w:pPr>
        <w:pBdr>
          <w:top w:val="single" w:sz="4" w:space="10" w:color="auto"/>
          <w:left w:val="single" w:sz="4" w:space="10" w:color="auto"/>
          <w:bottom w:val="single" w:sz="4" w:space="10" w:color="auto"/>
          <w:right w:val="single" w:sz="4" w:space="10" w:color="auto"/>
        </w:pBdr>
      </w:pPr>
      <w:r w:rsidRPr="00CD6CCB">
        <w:rPr>
          <w:i/>
        </w:rPr>
        <w:t>Deductions in 2016</w:t>
      </w:r>
      <w:r w:rsidR="00903D08">
        <w:rPr>
          <w:i/>
        </w:rPr>
        <w:t>–</w:t>
      </w:r>
      <w:r w:rsidRPr="00CD6CCB">
        <w:rPr>
          <w:i/>
        </w:rPr>
        <w:t>17 year</w:t>
      </w:r>
      <w:r w:rsidRPr="005E2810">
        <w:t xml:space="preserve"> = $0 – Interest and rates denied by the private limitation</w:t>
      </w:r>
    </w:p>
    <w:p w:rsidR="00CD6CCB" w:rsidRPr="005E2810" w:rsidRDefault="00CD6CCB" w:rsidP="00B62F4D">
      <w:pPr>
        <w:pBdr>
          <w:top w:val="single" w:sz="4" w:space="10" w:color="auto"/>
          <w:left w:val="single" w:sz="4" w:space="10" w:color="auto"/>
          <w:bottom w:val="single" w:sz="4" w:space="10" w:color="auto"/>
          <w:right w:val="single" w:sz="4" w:space="10" w:color="auto"/>
        </w:pBdr>
      </w:pPr>
      <w:r w:rsidRPr="00CD6CCB">
        <w:rPr>
          <w:i/>
        </w:rPr>
        <w:t>Deductions in 2017</w:t>
      </w:r>
      <w:r w:rsidR="00903D08">
        <w:rPr>
          <w:i/>
        </w:rPr>
        <w:t>–</w:t>
      </w:r>
      <w:r w:rsidR="00C91D5C" w:rsidRPr="00CD6CCB">
        <w:rPr>
          <w:i/>
        </w:rPr>
        <w:t>18 year</w:t>
      </w:r>
      <w:r w:rsidRPr="005E2810">
        <w:t xml:space="preserve"> = $580k (Cost base of property = house and roof)</w:t>
      </w:r>
    </w:p>
    <w:p w:rsidR="00CD6CCB" w:rsidRPr="005E2810" w:rsidRDefault="00CD6CCB" w:rsidP="00B62F4D">
      <w:pPr>
        <w:pBdr>
          <w:top w:val="single" w:sz="4" w:space="10" w:color="auto"/>
          <w:left w:val="single" w:sz="4" w:space="10" w:color="auto"/>
          <w:bottom w:val="single" w:sz="4" w:space="10" w:color="auto"/>
          <w:right w:val="single" w:sz="4" w:space="10" w:color="auto"/>
        </w:pBdr>
      </w:pPr>
      <w:r w:rsidRPr="00CD6CCB">
        <w:rPr>
          <w:i/>
        </w:rPr>
        <w:t>Income in 2017</w:t>
      </w:r>
      <w:r w:rsidR="00903D08">
        <w:rPr>
          <w:i/>
        </w:rPr>
        <w:t>–</w:t>
      </w:r>
      <w:r w:rsidRPr="00CD6CCB">
        <w:rPr>
          <w:i/>
        </w:rPr>
        <w:t>18 year</w:t>
      </w:r>
      <w:r w:rsidRPr="005E2810">
        <w:t xml:space="preserve"> = $800k</w:t>
      </w:r>
    </w:p>
    <w:p w:rsidR="00CD6CCB" w:rsidRPr="005E2810" w:rsidRDefault="00CD6CCB" w:rsidP="00CD6CCB"/>
    <w:p w:rsidR="00CD6CCB" w:rsidRDefault="00CD6CCB" w:rsidP="00CD6CCB">
      <w:pPr>
        <w:rPr>
          <w:b/>
        </w:rPr>
      </w:pPr>
      <w:r w:rsidRPr="00CF731A">
        <w:rPr>
          <w:b/>
        </w:rPr>
        <w:t>Ring-fencing</w:t>
      </w:r>
    </w:p>
    <w:p w:rsidR="00CD6CCB" w:rsidRPr="00E247F5" w:rsidRDefault="00CD6CCB" w:rsidP="00CD6CCB"/>
    <w:p w:rsidR="00CD6CCB" w:rsidRDefault="00CD6CCB" w:rsidP="00CD6CCB">
      <w:r>
        <w:t>Losses from sales of residential property that are taxable solely due to the bright-line test are ring-fenced so they can only be offset against gains on other land sales.</w:t>
      </w:r>
    </w:p>
    <w:p w:rsidR="00CD6CCB" w:rsidRPr="00CF731A" w:rsidRDefault="00CD6CCB" w:rsidP="00CD6CCB"/>
    <w:p w:rsidR="00EE32CE" w:rsidRPr="00EE32CE" w:rsidRDefault="00EE32CE" w:rsidP="00B62F4D">
      <w:pPr>
        <w:pBdr>
          <w:top w:val="single" w:sz="4" w:space="10" w:color="auto"/>
          <w:left w:val="single" w:sz="4" w:space="10" w:color="auto"/>
          <w:bottom w:val="single" w:sz="4" w:space="10" w:color="auto"/>
          <w:right w:val="single" w:sz="4" w:space="10" w:color="auto"/>
        </w:pBdr>
        <w:rPr>
          <w:b/>
          <w:i/>
        </w:rPr>
      </w:pPr>
      <w:r w:rsidRPr="00EE32CE">
        <w:rPr>
          <w:b/>
          <w:i/>
        </w:rPr>
        <w:t>Ring-fenced loss</w:t>
      </w:r>
    </w:p>
    <w:p w:rsidR="00EE32CE" w:rsidRDefault="00EE32CE" w:rsidP="00B62F4D">
      <w:pPr>
        <w:pBdr>
          <w:top w:val="single" w:sz="4" w:space="10" w:color="auto"/>
          <w:left w:val="single" w:sz="4" w:space="10" w:color="auto"/>
          <w:bottom w:val="single" w:sz="4" w:space="10" w:color="auto"/>
          <w:right w:val="single" w:sz="4" w:space="10" w:color="auto"/>
        </w:pBdr>
      </w:pPr>
    </w:p>
    <w:p w:rsidR="00CD6CCB" w:rsidRDefault="00CD6CCB" w:rsidP="00B62F4D">
      <w:pPr>
        <w:pBdr>
          <w:top w:val="single" w:sz="4" w:space="10" w:color="auto"/>
          <w:left w:val="single" w:sz="4" w:space="10" w:color="auto"/>
          <w:bottom w:val="single" w:sz="4" w:space="10" w:color="auto"/>
          <w:right w:val="single" w:sz="4" w:space="10" w:color="auto"/>
        </w:pBdr>
      </w:pPr>
      <w:r w:rsidRPr="005E2810">
        <w:t xml:space="preserve">In June 2017 </w:t>
      </w:r>
      <w:proofErr w:type="spellStart"/>
      <w:r w:rsidRPr="005E2810">
        <w:t>Zac</w:t>
      </w:r>
      <w:proofErr w:type="spellEnd"/>
      <w:r w:rsidRPr="005E2810">
        <w:t xml:space="preserve"> sells residential land that is taxable solely due to the bright-line test</w:t>
      </w:r>
      <w:r w:rsidR="00F16E3E">
        <w:t xml:space="preserve">.  </w:t>
      </w:r>
      <w:proofErr w:type="spellStart"/>
      <w:r w:rsidR="00F16E3E">
        <w:t>Z</w:t>
      </w:r>
      <w:r w:rsidRPr="005E2810">
        <w:t>ac</w:t>
      </w:r>
      <w:proofErr w:type="spellEnd"/>
      <w:r w:rsidRPr="005E2810">
        <w:t xml:space="preserve"> acquired the land for $600,000 and sold it for $540,000</w:t>
      </w:r>
      <w:r w:rsidR="00F16E3E">
        <w:t>.  F</w:t>
      </w:r>
      <w:r w:rsidRPr="005E2810">
        <w:t>or the 2017</w:t>
      </w:r>
      <w:r w:rsidR="00F16E3E">
        <w:t>–</w:t>
      </w:r>
      <w:r w:rsidRPr="005E2810">
        <w:t xml:space="preserve">18 income </w:t>
      </w:r>
      <w:proofErr w:type="gramStart"/>
      <w:r w:rsidRPr="005E2810">
        <w:t>year</w:t>
      </w:r>
      <w:proofErr w:type="gramEnd"/>
      <w:r w:rsidRPr="005E2810">
        <w:t xml:space="preserve">, </w:t>
      </w:r>
      <w:proofErr w:type="spellStart"/>
      <w:r w:rsidRPr="005E2810">
        <w:t>Zac</w:t>
      </w:r>
      <w:proofErr w:type="spellEnd"/>
      <w:r w:rsidRPr="005E2810">
        <w:t xml:space="preserve"> also earned $80,000 in salary and wages.</w:t>
      </w:r>
    </w:p>
    <w:p w:rsidR="00CD6CCB" w:rsidRPr="005E2810" w:rsidRDefault="00CD6CCB" w:rsidP="00B62F4D">
      <w:pPr>
        <w:pBdr>
          <w:top w:val="single" w:sz="4" w:space="10" w:color="auto"/>
          <w:left w:val="single" w:sz="4" w:space="10" w:color="auto"/>
          <w:bottom w:val="single" w:sz="4" w:space="10" w:color="auto"/>
          <w:right w:val="single" w:sz="4" w:space="10" w:color="auto"/>
        </w:pBdr>
      </w:pPr>
    </w:p>
    <w:p w:rsidR="00CD6CCB" w:rsidRDefault="00CD6CCB" w:rsidP="00B62F4D">
      <w:pPr>
        <w:pBdr>
          <w:top w:val="single" w:sz="4" w:space="10" w:color="auto"/>
          <w:left w:val="single" w:sz="4" w:space="10" w:color="auto"/>
          <w:bottom w:val="single" w:sz="4" w:space="10" w:color="auto"/>
          <w:right w:val="single" w:sz="4" w:space="10" w:color="auto"/>
        </w:pBdr>
      </w:pPr>
      <w:r w:rsidRPr="005E2810">
        <w:t>The $60,000 loss for the sale of residential land is ring-fenced so that it may only be used to offset income from other land sales</w:t>
      </w:r>
      <w:r w:rsidR="00F16E3E">
        <w:t xml:space="preserve">.  </w:t>
      </w:r>
      <w:proofErr w:type="spellStart"/>
      <w:r w:rsidR="00F16E3E">
        <w:t>Z</w:t>
      </w:r>
      <w:r w:rsidRPr="005E2810">
        <w:t>ac</w:t>
      </w:r>
      <w:proofErr w:type="spellEnd"/>
      <w:r w:rsidRPr="005E2810">
        <w:t xml:space="preserve"> cannot use the $60,000 loss to offset his income from salary and wages.</w:t>
      </w:r>
    </w:p>
    <w:p w:rsidR="00E247F5" w:rsidRDefault="00E247F5">
      <w:pPr>
        <w:jc w:val="left"/>
      </w:pPr>
      <w:r>
        <w:br w:type="page"/>
      </w:r>
    </w:p>
    <w:p w:rsidR="00CD6CCB" w:rsidRDefault="00DF57E3" w:rsidP="00B62F4D">
      <w:pPr>
        <w:pBdr>
          <w:top w:val="single" w:sz="4" w:space="10" w:color="auto"/>
          <w:left w:val="single" w:sz="4" w:space="10" w:color="auto"/>
          <w:bottom w:val="single" w:sz="4" w:space="10" w:color="auto"/>
          <w:right w:val="single" w:sz="4" w:space="10" w:color="auto"/>
        </w:pBdr>
        <w:rPr>
          <w:b/>
          <w:i/>
        </w:rPr>
      </w:pPr>
      <w:r w:rsidRPr="00DF57E3">
        <w:rPr>
          <w:b/>
          <w:i/>
        </w:rPr>
        <w:t>Offsetting against future land gain</w:t>
      </w:r>
    </w:p>
    <w:p w:rsidR="00DF57E3" w:rsidRPr="00F831BC" w:rsidRDefault="00DF57E3" w:rsidP="00B62F4D">
      <w:pPr>
        <w:pBdr>
          <w:top w:val="single" w:sz="4" w:space="10" w:color="auto"/>
          <w:left w:val="single" w:sz="4" w:space="10" w:color="auto"/>
          <w:bottom w:val="single" w:sz="4" w:space="10" w:color="auto"/>
          <w:right w:val="single" w:sz="4" w:space="10" w:color="auto"/>
        </w:pBdr>
      </w:pPr>
    </w:p>
    <w:p w:rsidR="00CD6CCB" w:rsidRPr="005E2810" w:rsidRDefault="00CD6CCB" w:rsidP="00B62F4D">
      <w:pPr>
        <w:pBdr>
          <w:top w:val="single" w:sz="4" w:space="10" w:color="auto"/>
          <w:left w:val="single" w:sz="4" w:space="10" w:color="auto"/>
          <w:bottom w:val="single" w:sz="4" w:space="10" w:color="auto"/>
          <w:right w:val="single" w:sz="4" w:space="10" w:color="auto"/>
        </w:pBdr>
      </w:pPr>
      <w:r w:rsidRPr="005E2810">
        <w:t xml:space="preserve">In August 2019 </w:t>
      </w:r>
      <w:proofErr w:type="spellStart"/>
      <w:r w:rsidRPr="005E2810">
        <w:t>Zac</w:t>
      </w:r>
      <w:proofErr w:type="spellEnd"/>
      <w:r w:rsidRPr="005E2810">
        <w:t xml:space="preserve"> sells land that he purchased with an intention of resale</w:t>
      </w:r>
      <w:r w:rsidR="00F16E3E">
        <w:t xml:space="preserve">.  </w:t>
      </w:r>
      <w:proofErr w:type="spellStart"/>
      <w:r w:rsidR="00F16E3E">
        <w:t>Z</w:t>
      </w:r>
      <w:r w:rsidRPr="005E2810">
        <w:t>ac</w:t>
      </w:r>
      <w:proofErr w:type="spellEnd"/>
      <w:r w:rsidRPr="005E2810">
        <w:t xml:space="preserve"> made a gain of $100,000 from the sale</w:t>
      </w:r>
      <w:r w:rsidR="00F16E3E">
        <w:t xml:space="preserve">.  </w:t>
      </w:r>
      <w:proofErr w:type="spellStart"/>
      <w:r w:rsidR="00F16E3E">
        <w:t>Z</w:t>
      </w:r>
      <w:r w:rsidRPr="005E2810">
        <w:t>ac</w:t>
      </w:r>
      <w:proofErr w:type="spellEnd"/>
      <w:r w:rsidRPr="005E2810">
        <w:t xml:space="preserve"> may offset his </w:t>
      </w:r>
      <w:r w:rsidR="00FD6706">
        <w:t>previous $60,000 loss against the $100,000 gain</w:t>
      </w:r>
      <w:r w:rsidR="00F16E3E">
        <w:t>.  A</w:t>
      </w:r>
      <w:r w:rsidR="00FD6706">
        <w:t xml:space="preserve">s a result </w:t>
      </w:r>
      <w:proofErr w:type="spellStart"/>
      <w:r w:rsidR="00FD6706">
        <w:t>Zac</w:t>
      </w:r>
      <w:proofErr w:type="spellEnd"/>
      <w:r w:rsidR="00FD6706">
        <w:t xml:space="preserve"> only has to pay tax on $40,000 of the gain in the 2019</w:t>
      </w:r>
      <w:r w:rsidR="00903D08">
        <w:t>–</w:t>
      </w:r>
      <w:r w:rsidR="00FD6706">
        <w:t xml:space="preserve">20 income </w:t>
      </w:r>
      <w:proofErr w:type="gramStart"/>
      <w:r w:rsidR="00FD6706">
        <w:t>year</w:t>
      </w:r>
      <w:proofErr w:type="gramEnd"/>
      <w:r w:rsidR="00FD6706">
        <w:t>.</w:t>
      </w:r>
    </w:p>
    <w:p w:rsidR="00CD6CCB" w:rsidRPr="00DB4CC5" w:rsidRDefault="00CD6CCB" w:rsidP="00CD6CCB">
      <w:pPr>
        <w:rPr>
          <w:lang w:val="en-NZ"/>
        </w:rPr>
      </w:pPr>
    </w:p>
    <w:p w:rsidR="00AD47EB" w:rsidRDefault="00AD47EB">
      <w:pPr>
        <w:jc w:val="left"/>
        <w:rPr>
          <w:b/>
          <w:caps/>
          <w:sz w:val="26"/>
          <w:lang w:val="en-NZ"/>
        </w:rPr>
      </w:pPr>
      <w:r>
        <w:br w:type="page"/>
      </w:r>
    </w:p>
    <w:p w:rsidR="002A3943" w:rsidRPr="00DB4CC5" w:rsidRDefault="002A3943">
      <w:pPr>
        <w:pStyle w:val="Heading1"/>
      </w:pPr>
      <w:bookmarkStart w:id="113" w:name="_Toc432412001"/>
      <w:r>
        <w:t>Inheritance</w:t>
      </w:r>
      <w:bookmarkEnd w:id="113"/>
    </w:p>
    <w:p w:rsidR="002A3943" w:rsidRPr="00DB4CC5" w:rsidRDefault="002A3943" w:rsidP="002A3943">
      <w:pPr>
        <w:rPr>
          <w:lang w:val="en-NZ"/>
        </w:rPr>
      </w:pPr>
    </w:p>
    <w:p w:rsidR="002A3943" w:rsidRPr="00DB4CC5" w:rsidRDefault="002A3943" w:rsidP="002A3943">
      <w:pPr>
        <w:tabs>
          <w:tab w:val="left" w:pos="5295"/>
        </w:tabs>
        <w:rPr>
          <w:lang w:val="en-NZ"/>
        </w:rPr>
      </w:pPr>
    </w:p>
    <w:p w:rsidR="002A3943" w:rsidRPr="00DB4CC5" w:rsidRDefault="002A3943" w:rsidP="002A3943">
      <w:pPr>
        <w:rPr>
          <w:lang w:val="en-NZ"/>
        </w:rPr>
      </w:pPr>
      <w:r>
        <w:rPr>
          <w:lang w:val="en-NZ"/>
        </w:rPr>
        <w:t>The Committee asked for further information on the provisions for inheritance in the bill.</w:t>
      </w:r>
    </w:p>
    <w:p w:rsidR="002A3943" w:rsidRPr="00DB4CC5" w:rsidRDefault="002A3943" w:rsidP="002A3943">
      <w:pPr>
        <w:rPr>
          <w:lang w:val="en-NZ"/>
        </w:rPr>
      </w:pPr>
    </w:p>
    <w:p w:rsidR="002A3943" w:rsidRPr="00DB4CC5" w:rsidRDefault="002A3943" w:rsidP="002A3943">
      <w:pPr>
        <w:pStyle w:val="Heading2"/>
        <w:rPr>
          <w:lang w:val="en-NZ"/>
        </w:rPr>
      </w:pPr>
      <w:r w:rsidRPr="00DB4CC5">
        <w:rPr>
          <w:lang w:val="en-NZ"/>
        </w:rPr>
        <w:t>Comment</w:t>
      </w:r>
    </w:p>
    <w:p w:rsidR="00C233EE" w:rsidRPr="00C233EE" w:rsidRDefault="00C233EE" w:rsidP="00C233EE">
      <w:pPr>
        <w:rPr>
          <w:lang w:val="en-NZ"/>
        </w:rPr>
      </w:pPr>
    </w:p>
    <w:p w:rsidR="00C233EE" w:rsidRDefault="00C233EE" w:rsidP="00C233EE">
      <w:pPr>
        <w:rPr>
          <w:lang w:val="en-NZ"/>
        </w:rPr>
      </w:pPr>
      <w:r w:rsidRPr="00C233EE">
        <w:rPr>
          <w:lang w:val="en-NZ"/>
        </w:rPr>
        <w:t>When a person dies, their property may be sold or transferred to a beneficiary, who may subsequently sell the property</w:t>
      </w:r>
      <w:r w:rsidR="00F16E3E">
        <w:rPr>
          <w:lang w:val="en-NZ"/>
        </w:rPr>
        <w:t>.  T</w:t>
      </w:r>
      <w:r w:rsidRPr="00C233EE">
        <w:rPr>
          <w:lang w:val="en-NZ"/>
        </w:rPr>
        <w:t>he bill proposes that those transfers and disposals will not</w:t>
      </w:r>
      <w:r w:rsidR="00C91155">
        <w:rPr>
          <w:lang w:val="en-NZ"/>
        </w:rPr>
        <w:t xml:space="preserve"> be</w:t>
      </w:r>
      <w:r w:rsidRPr="00C233EE">
        <w:rPr>
          <w:lang w:val="en-NZ"/>
        </w:rPr>
        <w:t xml:space="preserve"> subject to tax under the bright-line test.</w:t>
      </w:r>
    </w:p>
    <w:p w:rsidR="00C233EE" w:rsidRPr="00C233EE" w:rsidRDefault="00C233EE" w:rsidP="00C233EE">
      <w:pPr>
        <w:rPr>
          <w:lang w:val="en-NZ"/>
        </w:rPr>
      </w:pPr>
    </w:p>
    <w:p w:rsidR="00C233EE" w:rsidRPr="00C233EE" w:rsidRDefault="00C233EE" w:rsidP="00C233EE">
      <w:pPr>
        <w:rPr>
          <w:b/>
          <w:i/>
          <w:lang w:val="en-NZ"/>
        </w:rPr>
      </w:pPr>
      <w:r>
        <w:rPr>
          <w:b/>
          <w:i/>
          <w:lang w:val="en-NZ"/>
        </w:rPr>
        <w:t>Background</w:t>
      </w:r>
    </w:p>
    <w:p w:rsidR="00C233EE" w:rsidRPr="00C233EE" w:rsidRDefault="00C233EE" w:rsidP="00C233EE">
      <w:pPr>
        <w:rPr>
          <w:lang w:val="en-NZ"/>
        </w:rPr>
      </w:pPr>
    </w:p>
    <w:p w:rsidR="00C233EE" w:rsidRPr="00C233EE" w:rsidRDefault="00C233EE" w:rsidP="00C233EE">
      <w:pPr>
        <w:rPr>
          <w:lang w:val="en-NZ"/>
        </w:rPr>
      </w:pPr>
      <w:r w:rsidRPr="00C233EE">
        <w:rPr>
          <w:lang w:val="en-NZ"/>
        </w:rPr>
        <w:t>When a taxpayer dies, an estate can be dealt with in several ways, depending on whether a will exists</w:t>
      </w:r>
      <w:r w:rsidR="00F16E3E">
        <w:rPr>
          <w:lang w:val="en-NZ"/>
        </w:rPr>
        <w:t>.  A</w:t>
      </w:r>
      <w:r w:rsidRPr="00C233EE">
        <w:rPr>
          <w:lang w:val="en-NZ"/>
        </w:rPr>
        <w:t xml:space="preserve"> will usually </w:t>
      </w:r>
      <w:proofErr w:type="spellStart"/>
      <w:r w:rsidRPr="00C233EE">
        <w:rPr>
          <w:lang w:val="en-NZ"/>
        </w:rPr>
        <w:t>provides</w:t>
      </w:r>
      <w:proofErr w:type="spellEnd"/>
      <w:r w:rsidRPr="00C233EE">
        <w:rPr>
          <w:lang w:val="en-NZ"/>
        </w:rPr>
        <w:t xml:space="preserve"> for the appointment of one or more executors</w:t>
      </w:r>
      <w:r w:rsidR="00F16E3E">
        <w:rPr>
          <w:lang w:val="en-NZ"/>
        </w:rPr>
        <w:t>.  I</w:t>
      </w:r>
      <w:r w:rsidRPr="00C233EE">
        <w:rPr>
          <w:lang w:val="en-NZ"/>
        </w:rPr>
        <w:t>n the absence of a will, a court will appoint someone to administer the deceased’s estate (an administrator).</w:t>
      </w:r>
    </w:p>
    <w:p w:rsidR="00C233EE" w:rsidRPr="00C233EE" w:rsidRDefault="00C233EE" w:rsidP="00C233EE">
      <w:pPr>
        <w:rPr>
          <w:lang w:val="en-NZ"/>
        </w:rPr>
      </w:pPr>
    </w:p>
    <w:p w:rsidR="00C233EE" w:rsidRPr="00C233EE" w:rsidRDefault="00C233EE" w:rsidP="00C233EE">
      <w:pPr>
        <w:rPr>
          <w:lang w:val="en-NZ"/>
        </w:rPr>
      </w:pPr>
      <w:r w:rsidRPr="00C233EE">
        <w:rPr>
          <w:lang w:val="en-NZ"/>
        </w:rPr>
        <w:t>The executor or administrator is vested with legal and beneficial ownership of the deceased’s property from the time of death to the end of the period of executorship or administration</w:t>
      </w:r>
      <w:r w:rsidR="00F16E3E">
        <w:rPr>
          <w:lang w:val="en-NZ"/>
        </w:rPr>
        <w:t>.  T</w:t>
      </w:r>
      <w:r w:rsidRPr="00C233EE">
        <w:rPr>
          <w:lang w:val="en-NZ"/>
        </w:rPr>
        <w:t>he beneficiaries have a right to have the deceased’s estate administered properly during this period but do not have a legal or beneficial interest in the assets.</w:t>
      </w:r>
    </w:p>
    <w:p w:rsidR="00C233EE" w:rsidRPr="00C233EE" w:rsidRDefault="00C233EE" w:rsidP="00C233EE">
      <w:pPr>
        <w:rPr>
          <w:lang w:val="en-NZ"/>
        </w:rPr>
      </w:pPr>
    </w:p>
    <w:p w:rsidR="00C233EE" w:rsidRPr="00C233EE" w:rsidRDefault="00C233EE" w:rsidP="00C233EE">
      <w:pPr>
        <w:rPr>
          <w:lang w:val="en-NZ"/>
        </w:rPr>
      </w:pPr>
      <w:r w:rsidRPr="00C233EE">
        <w:rPr>
          <w:lang w:val="en-NZ"/>
        </w:rPr>
        <w:t>The duties of the executor or administrator are to collect the assets of the deceased, pay all debts, testamentary expenses and taxes and to distribute the legacies</w:t>
      </w:r>
      <w:r w:rsidR="00F16E3E">
        <w:rPr>
          <w:lang w:val="en-NZ"/>
        </w:rPr>
        <w:t>.  A</w:t>
      </w:r>
      <w:r w:rsidRPr="00C233EE">
        <w:rPr>
          <w:lang w:val="en-NZ"/>
        </w:rPr>
        <w:t>t the end of the period of executorship or administration, the executor or administrator becomes a trustee of the residual assets on behalf of the beneficiaries.</w:t>
      </w:r>
    </w:p>
    <w:p w:rsidR="00C233EE" w:rsidRPr="00C233EE" w:rsidRDefault="00C233EE" w:rsidP="00C233EE">
      <w:pPr>
        <w:rPr>
          <w:lang w:val="en-NZ"/>
        </w:rPr>
      </w:pPr>
    </w:p>
    <w:p w:rsidR="00C233EE" w:rsidRDefault="00C233EE" w:rsidP="00C233EE">
      <w:pPr>
        <w:rPr>
          <w:lang w:val="en-NZ"/>
        </w:rPr>
      </w:pPr>
      <w:r w:rsidRPr="00C233EE">
        <w:rPr>
          <w:lang w:val="en-NZ"/>
        </w:rPr>
        <w:t>Property that has been bequeathed or devised under a will may be gifted as a specific legacy, general legacy or residuary gift</w:t>
      </w:r>
      <w:r w:rsidR="00F16E3E">
        <w:rPr>
          <w:lang w:val="en-NZ"/>
        </w:rPr>
        <w:t>.  S</w:t>
      </w:r>
      <w:r w:rsidRPr="00C233EE">
        <w:rPr>
          <w:lang w:val="en-NZ"/>
        </w:rPr>
        <w:t>pecific legacies are treated as taking effect from the date of transfer to take effect from the date of death, so income arising from the property is derived by the beneficiary from the date of death</w:t>
      </w:r>
      <w:r w:rsidR="00F16E3E">
        <w:rPr>
          <w:lang w:val="en-NZ"/>
        </w:rPr>
        <w:t>.  A</w:t>
      </w:r>
      <w:r w:rsidRPr="00C233EE">
        <w:rPr>
          <w:lang w:val="en-NZ"/>
        </w:rPr>
        <w:t xml:space="preserve"> general or residuary legacy vests in a beneficiary at the time of distribution.</w:t>
      </w:r>
    </w:p>
    <w:p w:rsidR="00C233EE" w:rsidRPr="00C233EE" w:rsidRDefault="00C233EE" w:rsidP="00C233EE">
      <w:pPr>
        <w:rPr>
          <w:lang w:val="en-NZ"/>
        </w:rPr>
      </w:pPr>
    </w:p>
    <w:p w:rsidR="00C233EE" w:rsidRPr="00C233EE" w:rsidRDefault="00C233EE" w:rsidP="00C233EE">
      <w:pPr>
        <w:rPr>
          <w:b/>
          <w:i/>
          <w:lang w:val="en-NZ"/>
        </w:rPr>
      </w:pPr>
      <w:r>
        <w:rPr>
          <w:b/>
          <w:i/>
          <w:lang w:val="en-NZ"/>
        </w:rPr>
        <w:t>Inheritance and the bright-line test</w:t>
      </w:r>
    </w:p>
    <w:p w:rsidR="00C233EE" w:rsidRPr="00C233EE" w:rsidRDefault="00C233EE" w:rsidP="00C233EE">
      <w:pPr>
        <w:rPr>
          <w:lang w:val="en-NZ"/>
        </w:rPr>
      </w:pPr>
    </w:p>
    <w:p w:rsidR="00C233EE" w:rsidRPr="00C233EE" w:rsidRDefault="00C233EE" w:rsidP="00C233EE">
      <w:pPr>
        <w:rPr>
          <w:lang w:val="en-NZ"/>
        </w:rPr>
      </w:pPr>
      <w:r w:rsidRPr="00C233EE">
        <w:rPr>
          <w:lang w:val="en-NZ"/>
        </w:rPr>
        <w:t>The bright-line test proposes rollover relief for all transfers following a death and an exemption for any disposals by the executor or administrator or subsequent disposals by the beneficiaries.</w:t>
      </w:r>
    </w:p>
    <w:p w:rsidR="00C233EE" w:rsidRPr="00C233EE" w:rsidRDefault="00C233EE" w:rsidP="00C233EE">
      <w:pPr>
        <w:rPr>
          <w:lang w:val="en-NZ"/>
        </w:rPr>
      </w:pPr>
    </w:p>
    <w:p w:rsidR="00C233EE" w:rsidRPr="00C233EE" w:rsidRDefault="00C233EE" w:rsidP="00C233EE">
      <w:pPr>
        <w:rPr>
          <w:lang w:val="en-NZ"/>
        </w:rPr>
      </w:pPr>
      <w:r w:rsidRPr="00C233EE">
        <w:rPr>
          <w:lang w:val="en-NZ"/>
        </w:rPr>
        <w:t>The rollover relief is achieved by deeming the transfers from the deceased person to the executor or administrator, and from the executor or administrator to the beneficiary, as a disposal and acquisition of the property at the total cost of the land to the deceased person at the date of transfer (rather than at the land’s market value)</w:t>
      </w:r>
      <w:r w:rsidR="00F16E3E">
        <w:rPr>
          <w:lang w:val="en-NZ"/>
        </w:rPr>
        <w:t>.  T</w:t>
      </w:r>
      <w:r w:rsidRPr="00C233EE">
        <w:rPr>
          <w:lang w:val="en-NZ"/>
        </w:rPr>
        <w:t>he effect of this is that no tax liabilities under the bright-line test arise under the transfers.</w:t>
      </w:r>
    </w:p>
    <w:p w:rsidR="00C233EE" w:rsidRPr="00C233EE" w:rsidRDefault="00C233EE" w:rsidP="00C233EE">
      <w:pPr>
        <w:rPr>
          <w:lang w:val="en-NZ"/>
        </w:rPr>
      </w:pPr>
    </w:p>
    <w:p w:rsidR="00C233EE" w:rsidRDefault="00C233EE" w:rsidP="009B557D">
      <w:pPr>
        <w:rPr>
          <w:lang w:val="en-NZ"/>
        </w:rPr>
      </w:pPr>
      <w:r w:rsidRPr="00C233EE">
        <w:rPr>
          <w:lang w:val="en-NZ"/>
        </w:rPr>
        <w:t>Disposals by a beneficiary, executor or administrator of residential land transferred to them on the death of a person are specifically excluded from the bright-line test</w:t>
      </w:r>
      <w:r w:rsidR="00F16E3E">
        <w:rPr>
          <w:lang w:val="en-NZ"/>
        </w:rPr>
        <w:t>.  H</w:t>
      </w:r>
      <w:r w:rsidRPr="00C233EE">
        <w:rPr>
          <w:lang w:val="en-NZ"/>
        </w:rPr>
        <w:t>owever, the disposals may still be subject to tax under the current land sale rules.</w:t>
      </w:r>
      <w:r>
        <w:rPr>
          <w:lang w:val="en-NZ"/>
        </w:rPr>
        <w:br w:type="page"/>
      </w:r>
    </w:p>
    <w:p w:rsidR="00C233EE" w:rsidRPr="00DB4CC5" w:rsidRDefault="00C233EE" w:rsidP="00C233EE">
      <w:pPr>
        <w:pStyle w:val="Heading1"/>
      </w:pPr>
      <w:bookmarkStart w:id="114" w:name="_Toc432412002"/>
      <w:r>
        <w:t>Changes to the intention test</w:t>
      </w:r>
      <w:bookmarkEnd w:id="114"/>
    </w:p>
    <w:p w:rsidR="00C233EE" w:rsidRPr="00DB4CC5" w:rsidRDefault="00C233EE" w:rsidP="00C233EE">
      <w:pPr>
        <w:rPr>
          <w:lang w:val="en-NZ"/>
        </w:rPr>
      </w:pPr>
    </w:p>
    <w:p w:rsidR="00C233EE" w:rsidRPr="00DB4CC5" w:rsidRDefault="00C233EE" w:rsidP="00C233EE">
      <w:pPr>
        <w:tabs>
          <w:tab w:val="left" w:pos="5295"/>
        </w:tabs>
        <w:rPr>
          <w:lang w:val="en-NZ"/>
        </w:rPr>
      </w:pPr>
    </w:p>
    <w:p w:rsidR="00C233EE" w:rsidRPr="00DB4CC5" w:rsidRDefault="00C233EE" w:rsidP="00C233EE">
      <w:pPr>
        <w:rPr>
          <w:lang w:val="en-NZ"/>
        </w:rPr>
      </w:pPr>
      <w:r>
        <w:rPr>
          <w:lang w:val="en-NZ"/>
        </w:rPr>
        <w:t xml:space="preserve">The Committee asked whether there were any changes planned, or changes which could improve the current intention test as a result of the new </w:t>
      </w:r>
      <w:r w:rsidR="00F65A35">
        <w:rPr>
          <w:lang w:val="en-NZ"/>
        </w:rPr>
        <w:t>bright-line test.</w:t>
      </w:r>
    </w:p>
    <w:p w:rsidR="00C233EE" w:rsidRPr="00DB4CC5" w:rsidRDefault="00C233EE" w:rsidP="00C233EE">
      <w:pPr>
        <w:rPr>
          <w:lang w:val="en-NZ"/>
        </w:rPr>
      </w:pPr>
    </w:p>
    <w:p w:rsidR="00C233EE" w:rsidRPr="00DB4CC5" w:rsidRDefault="00C233EE" w:rsidP="00C233EE">
      <w:pPr>
        <w:pStyle w:val="Heading2"/>
        <w:rPr>
          <w:lang w:val="en-NZ"/>
        </w:rPr>
      </w:pPr>
      <w:r w:rsidRPr="00DB4CC5">
        <w:rPr>
          <w:lang w:val="en-NZ"/>
        </w:rPr>
        <w:t>Comment</w:t>
      </w:r>
    </w:p>
    <w:p w:rsidR="00C233EE" w:rsidRDefault="00C233EE" w:rsidP="00C233EE">
      <w:pPr>
        <w:rPr>
          <w:lang w:val="en-NZ"/>
        </w:rPr>
      </w:pPr>
    </w:p>
    <w:p w:rsidR="00F65A35" w:rsidRPr="00DB4CC5" w:rsidRDefault="00F65A35" w:rsidP="00F65A35">
      <w:pPr>
        <w:rPr>
          <w:lang w:val="en-NZ"/>
        </w:rPr>
      </w:pPr>
      <w:r>
        <w:rPr>
          <w:lang w:val="en-NZ"/>
        </w:rPr>
        <w:t xml:space="preserve">The bright-line test is intended to be a supplement to the intention test to assist with enforcement in cases where there is fast </w:t>
      </w:r>
      <w:r w:rsidR="008C61BC">
        <w:rPr>
          <w:lang w:val="en-NZ"/>
        </w:rPr>
        <w:t xml:space="preserve">turnover </w:t>
      </w:r>
      <w:r>
        <w:rPr>
          <w:lang w:val="en-NZ"/>
        </w:rPr>
        <w:t xml:space="preserve">of residential property. </w:t>
      </w:r>
    </w:p>
    <w:p w:rsidR="00F65A35" w:rsidRDefault="00F65A35" w:rsidP="00C233EE">
      <w:pPr>
        <w:rPr>
          <w:lang w:val="en-NZ"/>
        </w:rPr>
      </w:pPr>
    </w:p>
    <w:p w:rsidR="00F65A35" w:rsidRDefault="005C351F" w:rsidP="00C233EE">
      <w:pPr>
        <w:rPr>
          <w:lang w:val="en-NZ"/>
        </w:rPr>
      </w:pPr>
      <w:r>
        <w:rPr>
          <w:lang w:val="en-NZ"/>
        </w:rPr>
        <w:t>We consider that t</w:t>
      </w:r>
      <w:r w:rsidR="00F65A35">
        <w:rPr>
          <w:lang w:val="en-NZ"/>
        </w:rPr>
        <w:t>he intention test is still</w:t>
      </w:r>
      <w:r>
        <w:rPr>
          <w:lang w:val="en-NZ"/>
        </w:rPr>
        <w:t xml:space="preserve"> </w:t>
      </w:r>
      <w:r w:rsidR="00FD6706">
        <w:rPr>
          <w:lang w:val="en-NZ"/>
        </w:rPr>
        <w:t>necessary</w:t>
      </w:r>
      <w:r w:rsidR="00F65A35">
        <w:rPr>
          <w:lang w:val="en-NZ"/>
        </w:rPr>
        <w:t xml:space="preserve"> to ensure that speculators who hold their property for longer than two years are taxable on gains from the</w:t>
      </w:r>
      <w:r w:rsidR="002833E1">
        <w:rPr>
          <w:lang w:val="en-NZ"/>
        </w:rPr>
        <w:t>ir</w:t>
      </w:r>
      <w:r w:rsidR="00F65A35">
        <w:rPr>
          <w:lang w:val="en-NZ"/>
        </w:rPr>
        <w:t xml:space="preserve"> sale</w:t>
      </w:r>
      <w:r w:rsidR="002833E1">
        <w:rPr>
          <w:lang w:val="en-NZ"/>
        </w:rPr>
        <w:t>s</w:t>
      </w:r>
      <w:r w:rsidR="00F16E3E">
        <w:rPr>
          <w:lang w:val="en-NZ"/>
        </w:rPr>
        <w:t>.  A</w:t>
      </w:r>
      <w:r w:rsidR="00F65A35">
        <w:rPr>
          <w:lang w:val="en-NZ"/>
        </w:rPr>
        <w:t>s a result, the bright-line test is not intended to replace</w:t>
      </w:r>
      <w:r w:rsidR="002627C0">
        <w:rPr>
          <w:lang w:val="en-NZ"/>
        </w:rPr>
        <w:t xml:space="preserve"> or alter</w:t>
      </w:r>
      <w:r w:rsidR="00F65A35">
        <w:rPr>
          <w:lang w:val="en-NZ"/>
        </w:rPr>
        <w:t xml:space="preserve"> the intention test</w:t>
      </w:r>
      <w:r w:rsidR="00F16E3E">
        <w:rPr>
          <w:lang w:val="en-NZ"/>
        </w:rPr>
        <w:t>.  O</w:t>
      </w:r>
      <w:r w:rsidR="002833E1">
        <w:rPr>
          <w:lang w:val="en-NZ"/>
        </w:rPr>
        <w:t>fficials are not currently proposing that any changes be made to the intention test.</w:t>
      </w:r>
    </w:p>
    <w:p w:rsidR="00A710BA" w:rsidRPr="00DB4CC5" w:rsidRDefault="00A710BA" w:rsidP="00536A68">
      <w:pPr>
        <w:rPr>
          <w:lang w:val="en-NZ"/>
        </w:rPr>
      </w:pPr>
    </w:p>
    <w:sectPr w:rsidR="00A710BA" w:rsidRPr="00DB4CC5" w:rsidSect="00AD47EB">
      <w:type w:val="oddPage"/>
      <w:pgSz w:w="11906" w:h="16838" w:code="9"/>
      <w:pgMar w:top="1304" w:right="1797" w:bottom="1134" w:left="1797"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904" w:rsidRDefault="00F45904">
      <w:r>
        <w:separator/>
      </w:r>
    </w:p>
  </w:endnote>
  <w:endnote w:type="continuationSeparator" w:id="0">
    <w:p w:rsidR="00F45904" w:rsidRDefault="00F4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04" w:rsidRDefault="00F45904" w:rsidP="00412BF4">
    <w:pPr>
      <w:pStyle w:val="Footer"/>
      <w:tabs>
        <w:tab w:val="clear" w:pos="4153"/>
      </w:tabs>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04" w:rsidRDefault="00F45904" w:rsidP="00B97F56">
    <w:pPr>
      <w:pStyle w:val="Footer"/>
      <w:tabs>
        <w:tab w:val="clear" w:pos="4153"/>
        <w:tab w:val="clear" w:pos="8306"/>
      </w:tabs>
      <w:ind w:right="-52"/>
      <w:jc w:val="center"/>
      <w:rPr>
        <w:sz w:val="22"/>
      </w:rPr>
    </w:pPr>
    <w:r>
      <w:rPr>
        <w:rStyle w:val="PageNumber"/>
      </w:rPr>
      <w:fldChar w:fldCharType="begin"/>
    </w:r>
    <w:r>
      <w:rPr>
        <w:rStyle w:val="PageNumber"/>
      </w:rPr>
      <w:instrText xml:space="preserve"> PAGE </w:instrText>
    </w:r>
    <w:r>
      <w:rPr>
        <w:rStyle w:val="PageNumber"/>
      </w:rPr>
      <w:fldChar w:fldCharType="separate"/>
    </w:r>
    <w:r w:rsidR="001F6871">
      <w:rPr>
        <w:rStyle w:val="PageNumber"/>
        <w:noProof/>
      </w:rPr>
      <w:t>63</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04" w:rsidRDefault="00F45904" w:rsidP="00573B24">
    <w:pPr>
      <w:pStyle w:val="Footer"/>
      <w:jc w:val="center"/>
    </w:pPr>
    <w:r>
      <w:rPr>
        <w:rStyle w:val="PageNumber"/>
      </w:rPr>
      <w:fldChar w:fldCharType="begin"/>
    </w:r>
    <w:r>
      <w:rPr>
        <w:rStyle w:val="PageNumber"/>
      </w:rPr>
      <w:instrText xml:space="preserve"> PAGE </w:instrText>
    </w:r>
    <w:r>
      <w:rPr>
        <w:rStyle w:val="PageNumber"/>
      </w:rPr>
      <w:fldChar w:fldCharType="separate"/>
    </w:r>
    <w:r w:rsidR="001F6871">
      <w:rPr>
        <w:rStyle w:val="PageNumber"/>
        <w:noProof/>
      </w:rPr>
      <w:t>3</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04" w:rsidRDefault="00F45904" w:rsidP="007F7F27">
    <w:pPr>
      <w:pStyle w:val="Footer"/>
      <w:tabs>
        <w:tab w:val="clear" w:pos="4153"/>
      </w:tabs>
      <w:ind w:right="360"/>
      <w:jc w:val="center"/>
      <w:rPr>
        <w:sz w:val="22"/>
      </w:rPr>
    </w:pPr>
    <w:r>
      <w:rPr>
        <w:rStyle w:val="PageNumber"/>
      </w:rPr>
      <w:fldChar w:fldCharType="begin"/>
    </w:r>
    <w:r>
      <w:rPr>
        <w:rStyle w:val="PageNumber"/>
      </w:rPr>
      <w:instrText xml:space="preserve"> PAGE </w:instrText>
    </w:r>
    <w:r>
      <w:rPr>
        <w:rStyle w:val="PageNumber"/>
      </w:rPr>
      <w:fldChar w:fldCharType="separate"/>
    </w:r>
    <w:r w:rsidR="001F6871">
      <w:rPr>
        <w:rStyle w:val="PageNumber"/>
        <w:noProof/>
      </w:rPr>
      <w:t>66</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04" w:rsidRDefault="00F45904">
    <w:pPr>
      <w:pStyle w:val="Footer"/>
      <w:tabs>
        <w:tab w:val="clear" w:pos="4153"/>
        <w:tab w:val="clear" w:pos="8306"/>
      </w:tabs>
      <w:ind w:right="-52"/>
      <w:jc w:val="right"/>
      <w:rPr>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04" w:rsidRDefault="00F45904" w:rsidP="00573B24">
    <w:pPr>
      <w:pStyle w:val="Footer"/>
      <w:jc w:val="center"/>
    </w:pPr>
    <w:r>
      <w:rPr>
        <w:rStyle w:val="PageNumber"/>
      </w:rPr>
      <w:fldChar w:fldCharType="begin"/>
    </w:r>
    <w:r>
      <w:rPr>
        <w:rStyle w:val="PageNumber"/>
      </w:rPr>
      <w:instrText xml:space="preserve"> PAGE </w:instrText>
    </w:r>
    <w:r>
      <w:rPr>
        <w:rStyle w:val="PageNumber"/>
      </w:rPr>
      <w:fldChar w:fldCharType="separate"/>
    </w:r>
    <w:r w:rsidR="001F6871">
      <w:rPr>
        <w:rStyle w:val="PageNumber"/>
        <w:noProof/>
      </w:rPr>
      <w:t>65</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04" w:rsidRDefault="00F45904" w:rsidP="006A18C0">
    <w:pPr>
      <w:pStyle w:val="Footer"/>
      <w:tabs>
        <w:tab w:val="clear" w:pos="4153"/>
        <w:tab w:val="clear" w:pos="8306"/>
      </w:tabs>
      <w:ind w:right="11"/>
      <w:jc w:val="center"/>
      <w:rPr>
        <w:sz w:val="22"/>
      </w:rPr>
    </w:pPr>
    <w:r>
      <w:rPr>
        <w:rStyle w:val="PageNumber"/>
      </w:rPr>
      <w:fldChar w:fldCharType="begin"/>
    </w:r>
    <w:r>
      <w:rPr>
        <w:rStyle w:val="PageNumber"/>
      </w:rPr>
      <w:instrText xml:space="preserve"> PAGE </w:instrText>
    </w:r>
    <w:r>
      <w:rPr>
        <w:rStyle w:val="PageNumber"/>
      </w:rPr>
      <w:fldChar w:fldCharType="separate"/>
    </w:r>
    <w:r w:rsidR="001F6871">
      <w:rPr>
        <w:rStyle w:val="PageNumber"/>
        <w:noProof/>
      </w:rPr>
      <w:t>72</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04" w:rsidRDefault="00F45904" w:rsidP="00F73407">
    <w:pPr>
      <w:pStyle w:val="Footer"/>
      <w:tabs>
        <w:tab w:val="clear" w:pos="4153"/>
        <w:tab w:val="clear" w:pos="8306"/>
      </w:tabs>
      <w:ind w:right="-52"/>
      <w:jc w:val="center"/>
      <w:rPr>
        <w:sz w:val="22"/>
      </w:rPr>
    </w:pPr>
    <w:r>
      <w:rPr>
        <w:rStyle w:val="PageNumber"/>
      </w:rPr>
      <w:fldChar w:fldCharType="begin"/>
    </w:r>
    <w:r>
      <w:rPr>
        <w:rStyle w:val="PageNumber"/>
      </w:rPr>
      <w:instrText xml:space="preserve"> PAGE </w:instrText>
    </w:r>
    <w:r>
      <w:rPr>
        <w:rStyle w:val="PageNumber"/>
      </w:rPr>
      <w:fldChar w:fldCharType="separate"/>
    </w:r>
    <w:r w:rsidR="001F6871">
      <w:rPr>
        <w:rStyle w:val="PageNumber"/>
        <w:noProof/>
      </w:rPr>
      <w:t>69</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04" w:rsidRDefault="00F45904" w:rsidP="00573B24">
    <w:pPr>
      <w:pStyle w:val="Footer"/>
      <w:jc w:val="center"/>
    </w:pPr>
    <w:r>
      <w:rPr>
        <w:rStyle w:val="PageNumber"/>
      </w:rPr>
      <w:fldChar w:fldCharType="begin"/>
    </w:r>
    <w:r>
      <w:rPr>
        <w:rStyle w:val="PageNumber"/>
      </w:rPr>
      <w:instrText xml:space="preserve"> PAGE </w:instrText>
    </w:r>
    <w:r>
      <w:rPr>
        <w:rStyle w:val="PageNumber"/>
      </w:rPr>
      <w:fldChar w:fldCharType="separate"/>
    </w:r>
    <w:r w:rsidR="001F6871">
      <w:rPr>
        <w:rStyle w:val="PageNumber"/>
        <w:noProof/>
      </w:rPr>
      <w:t>71</w:t>
    </w:r>
    <w:r>
      <w:rPr>
        <w:rStyle w:val="PageNumber"/>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04" w:rsidRDefault="00F45904" w:rsidP="00245F3B">
    <w:pPr>
      <w:pStyle w:val="Footer"/>
      <w:tabs>
        <w:tab w:val="clear" w:pos="4153"/>
      </w:tabs>
      <w:ind w:right="-52"/>
      <w:jc w:val="center"/>
      <w:rPr>
        <w:sz w:val="22"/>
      </w:rPr>
    </w:pPr>
    <w:r>
      <w:rPr>
        <w:rStyle w:val="PageNumber"/>
      </w:rPr>
      <w:fldChar w:fldCharType="begin"/>
    </w:r>
    <w:r>
      <w:rPr>
        <w:rStyle w:val="PageNumber"/>
      </w:rPr>
      <w:instrText xml:space="preserve"> PAGE </w:instrText>
    </w:r>
    <w:r>
      <w:rPr>
        <w:rStyle w:val="PageNumber"/>
      </w:rPr>
      <w:fldChar w:fldCharType="separate"/>
    </w:r>
    <w:r w:rsidR="001F6871">
      <w:rPr>
        <w:rStyle w:val="PageNumber"/>
        <w:noProof/>
      </w:rPr>
      <w:t>90</w:t>
    </w:r>
    <w:r>
      <w:rPr>
        <w:rStyle w:val="PageNumber"/>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04" w:rsidRDefault="00F45904" w:rsidP="00245F3B">
    <w:pPr>
      <w:pStyle w:val="Footer"/>
      <w:tabs>
        <w:tab w:val="clear" w:pos="4153"/>
        <w:tab w:val="clear" w:pos="8306"/>
      </w:tabs>
      <w:ind w:right="-52"/>
      <w:jc w:val="center"/>
      <w:rPr>
        <w:sz w:val="22"/>
      </w:rPr>
    </w:pPr>
    <w:r>
      <w:rPr>
        <w:rStyle w:val="PageNumber"/>
      </w:rPr>
      <w:fldChar w:fldCharType="begin"/>
    </w:r>
    <w:r>
      <w:rPr>
        <w:rStyle w:val="PageNumber"/>
      </w:rPr>
      <w:instrText xml:space="preserve"> PAGE </w:instrText>
    </w:r>
    <w:r>
      <w:rPr>
        <w:rStyle w:val="PageNumber"/>
      </w:rPr>
      <w:fldChar w:fldCharType="separate"/>
    </w:r>
    <w:r w:rsidR="001F6871">
      <w:rPr>
        <w:rStyle w:val="PageNumber"/>
        <w:noProof/>
      </w:rPr>
      <w:t>89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04" w:rsidRDefault="00F45904">
    <w:pPr>
      <w:pStyle w:val="Footer"/>
      <w:tabs>
        <w:tab w:val="clear" w:pos="4153"/>
        <w:tab w:val="clear" w:pos="8306"/>
      </w:tabs>
      <w:ind w:right="-52"/>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04" w:rsidRDefault="00F45904" w:rsidP="00245F3B">
    <w:pPr>
      <w:pStyle w:val="Footer"/>
      <w:jc w:val="center"/>
    </w:pPr>
    <w:r>
      <w:rPr>
        <w:rStyle w:val="PageNumber"/>
      </w:rPr>
      <w:fldChar w:fldCharType="begin"/>
    </w:r>
    <w:r>
      <w:rPr>
        <w:rStyle w:val="PageNumber"/>
      </w:rPr>
      <w:instrText xml:space="preserve"> PAGE </w:instrText>
    </w:r>
    <w:r>
      <w:rPr>
        <w:rStyle w:val="PageNumber"/>
      </w:rPr>
      <w:fldChar w:fldCharType="separate"/>
    </w:r>
    <w:r w:rsidR="001F6871">
      <w:rPr>
        <w:rStyle w:val="PageNumber"/>
        <w:noProof/>
      </w:rPr>
      <w:t>75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04" w:rsidRDefault="00F45904" w:rsidP="006A18C0">
    <w:pPr>
      <w:pStyle w:val="Footer"/>
      <w:tabs>
        <w:tab w:val="clear" w:pos="4153"/>
      </w:tabs>
      <w:ind w:right="-5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04" w:rsidRDefault="00F45904">
    <w:pPr>
      <w:pStyle w:val="Footer"/>
      <w:tabs>
        <w:tab w:val="clear" w:pos="4153"/>
        <w:tab w:val="clear" w:pos="8306"/>
      </w:tabs>
      <w:ind w:right="-5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04" w:rsidRDefault="00F459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04" w:rsidRDefault="00F45904" w:rsidP="00985DE9">
    <w:pPr>
      <w:pStyle w:val="Footer"/>
      <w:tabs>
        <w:tab w:val="clear" w:pos="4153"/>
      </w:tabs>
      <w:ind w:right="-31"/>
      <w:jc w:val="center"/>
      <w:rPr>
        <w:sz w:val="22"/>
      </w:rPr>
    </w:pPr>
    <w:r>
      <w:rPr>
        <w:rStyle w:val="PageNumber"/>
      </w:rPr>
      <w:fldChar w:fldCharType="begin"/>
    </w:r>
    <w:r>
      <w:rPr>
        <w:rStyle w:val="PageNumber"/>
      </w:rPr>
      <w:instrText xml:space="preserve"> PAGE </w:instrText>
    </w:r>
    <w:r>
      <w:rPr>
        <w:rStyle w:val="PageNumber"/>
      </w:rPr>
      <w:fldChar w:fldCharType="separate"/>
    </w:r>
    <w:r w:rsidR="001F6871">
      <w:rPr>
        <w:rStyle w:val="PageNumber"/>
        <w:noProof/>
      </w:rPr>
      <w:t>2</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04" w:rsidRDefault="00F45904" w:rsidP="00B97F56">
    <w:pPr>
      <w:pStyle w:val="Footer"/>
      <w:tabs>
        <w:tab w:val="clear" w:pos="4153"/>
        <w:tab w:val="clear" w:pos="8306"/>
      </w:tabs>
      <w:ind w:right="-52"/>
      <w:jc w:val="center"/>
      <w:rPr>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04" w:rsidRDefault="00F45904" w:rsidP="00573B24">
    <w:pPr>
      <w:pStyle w:val="Footer"/>
      <w:jc w:val="center"/>
    </w:pPr>
    <w:r>
      <w:rPr>
        <w:rStyle w:val="PageNumber"/>
      </w:rPr>
      <w:fldChar w:fldCharType="begin"/>
    </w:r>
    <w:r>
      <w:rPr>
        <w:rStyle w:val="PageNumber"/>
      </w:rPr>
      <w:instrText xml:space="preserve"> PAGE </w:instrText>
    </w:r>
    <w:r>
      <w:rPr>
        <w:rStyle w:val="PageNumber"/>
      </w:rPr>
      <w:fldChar w:fldCharType="separate"/>
    </w:r>
    <w:r w:rsidR="001F6871">
      <w:rPr>
        <w:rStyle w:val="PageNumber"/>
        <w:noProof/>
      </w:rPr>
      <w:t>1</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04" w:rsidRDefault="00F45904" w:rsidP="00985DE9">
    <w:pPr>
      <w:pStyle w:val="Footer"/>
      <w:tabs>
        <w:tab w:val="clear" w:pos="4153"/>
      </w:tabs>
      <w:ind w:right="-31"/>
      <w:jc w:val="center"/>
      <w:rPr>
        <w:sz w:val="22"/>
      </w:rPr>
    </w:pPr>
    <w:r>
      <w:rPr>
        <w:rStyle w:val="PageNumber"/>
      </w:rPr>
      <w:fldChar w:fldCharType="begin"/>
    </w:r>
    <w:r>
      <w:rPr>
        <w:rStyle w:val="PageNumber"/>
      </w:rPr>
      <w:instrText xml:space="preserve"> PAGE </w:instrText>
    </w:r>
    <w:r>
      <w:rPr>
        <w:rStyle w:val="PageNumber"/>
      </w:rPr>
      <w:fldChar w:fldCharType="separate"/>
    </w:r>
    <w:r w:rsidR="001F6871">
      <w:rPr>
        <w:rStyle w:val="PageNumber"/>
        <w:noProof/>
      </w:rPr>
      <w:t>64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904" w:rsidRDefault="00F45904">
      <w:r>
        <w:separator/>
      </w:r>
    </w:p>
  </w:footnote>
  <w:footnote w:type="continuationSeparator" w:id="0">
    <w:p w:rsidR="00F45904" w:rsidRDefault="00F45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04791A"/>
    <w:lvl w:ilvl="0">
      <w:start w:val="1"/>
      <w:numFmt w:val="bullet"/>
      <w:pStyle w:val="ListBullet"/>
      <w:lvlText w:val=""/>
      <w:lvlJc w:val="left"/>
      <w:pPr>
        <w:tabs>
          <w:tab w:val="num" w:pos="567"/>
        </w:tabs>
        <w:ind w:left="567" w:hanging="567"/>
      </w:pPr>
      <w:rPr>
        <w:rFonts w:ascii="Symbol" w:hAnsi="Symbol" w:hint="default"/>
      </w:rPr>
    </w:lvl>
  </w:abstractNum>
  <w:abstractNum w:abstractNumId="1">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6"/>
    <w:multiLevelType w:val="multilevel"/>
    <w:tmpl w:val="00000006"/>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8D4A57"/>
    <w:multiLevelType w:val="hybridMultilevel"/>
    <w:tmpl w:val="756AC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19F60AD"/>
    <w:multiLevelType w:val="hybridMultilevel"/>
    <w:tmpl w:val="394C97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2646D6F"/>
    <w:multiLevelType w:val="hybridMultilevel"/>
    <w:tmpl w:val="32E4BACE"/>
    <w:lvl w:ilvl="0" w:tplc="E3689DD2">
      <w:numFmt w:val="bullet"/>
      <w:lvlText w:val=""/>
      <w:lvlJc w:val="left"/>
      <w:pPr>
        <w:ind w:left="720" w:hanging="360"/>
      </w:pPr>
      <w:rPr>
        <w:rFonts w:ascii="Wingdings" w:eastAsia="Times New Roman" w:hAnsi="Wing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6F05697"/>
    <w:multiLevelType w:val="singleLevel"/>
    <w:tmpl w:val="D960F712"/>
    <w:lvl w:ilvl="0">
      <w:start w:val="1"/>
      <w:numFmt w:val="decimal"/>
      <w:lvlText w:val="16.%1"/>
      <w:lvlJc w:val="left"/>
      <w:pPr>
        <w:tabs>
          <w:tab w:val="num" w:pos="720"/>
        </w:tabs>
        <w:ind w:left="0" w:firstLine="0"/>
      </w:pPr>
      <w:rPr>
        <w:rFonts w:ascii="Times New Roman" w:hAnsi="Times New Roman" w:hint="default"/>
        <w:b w:val="0"/>
        <w:i w:val="0"/>
        <w:sz w:val="24"/>
      </w:rPr>
    </w:lvl>
  </w:abstractNum>
  <w:abstractNum w:abstractNumId="7">
    <w:nsid w:val="07E221B9"/>
    <w:multiLevelType w:val="singleLevel"/>
    <w:tmpl w:val="8FDA101E"/>
    <w:lvl w:ilvl="0">
      <w:start w:val="1"/>
      <w:numFmt w:val="decimal"/>
      <w:pStyle w:val="Chapter11"/>
      <w:lvlText w:val="11.%1"/>
      <w:lvlJc w:val="left"/>
      <w:pPr>
        <w:tabs>
          <w:tab w:val="num" w:pos="737"/>
        </w:tabs>
        <w:ind w:left="737" w:hanging="737"/>
      </w:pPr>
      <w:rPr>
        <w:rFonts w:ascii="Times New Roman" w:hAnsi="Times New Roman" w:hint="default"/>
      </w:rPr>
    </w:lvl>
  </w:abstractNum>
  <w:abstractNum w:abstractNumId="8">
    <w:nsid w:val="07F32E2C"/>
    <w:multiLevelType w:val="singleLevel"/>
    <w:tmpl w:val="8292964A"/>
    <w:lvl w:ilvl="0">
      <w:start w:val="1"/>
      <w:numFmt w:val="decimal"/>
      <w:lvlText w:val="11.%1"/>
      <w:lvlJc w:val="left"/>
      <w:pPr>
        <w:tabs>
          <w:tab w:val="num" w:pos="720"/>
        </w:tabs>
        <w:ind w:left="0" w:firstLine="0"/>
      </w:pPr>
      <w:rPr>
        <w:rFonts w:ascii="Times New Roman" w:hAnsi="Times New Roman" w:hint="default"/>
        <w:b w:val="0"/>
        <w:i w:val="0"/>
        <w:sz w:val="24"/>
      </w:rPr>
    </w:lvl>
  </w:abstractNum>
  <w:abstractNum w:abstractNumId="9">
    <w:nsid w:val="0EA74A9A"/>
    <w:multiLevelType w:val="hybridMultilevel"/>
    <w:tmpl w:val="7E1201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0F111F06"/>
    <w:multiLevelType w:val="singleLevel"/>
    <w:tmpl w:val="5D66696E"/>
    <w:lvl w:ilvl="0">
      <w:start w:val="1"/>
      <w:numFmt w:val="decimal"/>
      <w:pStyle w:val="Chapter10"/>
      <w:lvlText w:val="10.%1"/>
      <w:lvlJc w:val="left"/>
      <w:pPr>
        <w:tabs>
          <w:tab w:val="num" w:pos="737"/>
        </w:tabs>
        <w:ind w:left="737" w:hanging="737"/>
      </w:pPr>
      <w:rPr>
        <w:rFonts w:ascii="Times New Roman" w:hAnsi="Times New Roman" w:hint="default"/>
      </w:rPr>
    </w:lvl>
  </w:abstractNum>
  <w:abstractNum w:abstractNumId="11">
    <w:nsid w:val="105244B4"/>
    <w:multiLevelType w:val="singleLevel"/>
    <w:tmpl w:val="E74CE2D2"/>
    <w:lvl w:ilvl="0">
      <w:start w:val="1"/>
      <w:numFmt w:val="decimal"/>
      <w:pStyle w:val="Chapter4"/>
      <w:lvlText w:val="4.%1"/>
      <w:lvlJc w:val="left"/>
      <w:pPr>
        <w:tabs>
          <w:tab w:val="num" w:pos="737"/>
        </w:tabs>
        <w:ind w:left="737" w:hanging="737"/>
      </w:pPr>
      <w:rPr>
        <w:rFonts w:ascii="Times New Roman" w:hAnsi="Times New Roman" w:hint="default"/>
      </w:rPr>
    </w:lvl>
  </w:abstractNum>
  <w:abstractNum w:abstractNumId="12">
    <w:nsid w:val="112A3C73"/>
    <w:multiLevelType w:val="singleLevel"/>
    <w:tmpl w:val="E91EB232"/>
    <w:lvl w:ilvl="0">
      <w:start w:val="1"/>
      <w:numFmt w:val="decimal"/>
      <w:pStyle w:val="BodyTextChapter2"/>
      <w:lvlText w:val="2.%1"/>
      <w:lvlJc w:val="left"/>
      <w:pPr>
        <w:tabs>
          <w:tab w:val="num" w:pos="992"/>
        </w:tabs>
        <w:ind w:left="992" w:hanging="992"/>
      </w:pPr>
      <w:rPr>
        <w:b w:val="0"/>
        <w:i w:val="0"/>
      </w:rPr>
    </w:lvl>
  </w:abstractNum>
  <w:abstractNum w:abstractNumId="13">
    <w:nsid w:val="14DE3411"/>
    <w:multiLevelType w:val="singleLevel"/>
    <w:tmpl w:val="58DA219E"/>
    <w:lvl w:ilvl="0">
      <w:start w:val="1"/>
      <w:numFmt w:val="bullet"/>
      <w:lvlText w:val="-"/>
      <w:lvlJc w:val="left"/>
      <w:pPr>
        <w:tabs>
          <w:tab w:val="num" w:pos="1134"/>
        </w:tabs>
        <w:ind w:left="1134" w:hanging="567"/>
      </w:pPr>
      <w:rPr>
        <w:sz w:val="22"/>
      </w:rPr>
    </w:lvl>
  </w:abstractNum>
  <w:abstractNum w:abstractNumId="14">
    <w:nsid w:val="1BC164B8"/>
    <w:multiLevelType w:val="singleLevel"/>
    <w:tmpl w:val="84C4E7E2"/>
    <w:lvl w:ilvl="0">
      <w:start w:val="1"/>
      <w:numFmt w:val="decimal"/>
      <w:pStyle w:val="Chapter3"/>
      <w:lvlText w:val="3.%1"/>
      <w:lvlJc w:val="left"/>
      <w:pPr>
        <w:tabs>
          <w:tab w:val="num" w:pos="737"/>
        </w:tabs>
        <w:ind w:left="737" w:hanging="737"/>
      </w:pPr>
      <w:rPr>
        <w:rFonts w:ascii="Times New Roman" w:hAnsi="Times New Roman" w:hint="default"/>
      </w:rPr>
    </w:lvl>
  </w:abstractNum>
  <w:abstractNum w:abstractNumId="15">
    <w:nsid w:val="1CEB0B10"/>
    <w:multiLevelType w:val="singleLevel"/>
    <w:tmpl w:val="9AF2D0F6"/>
    <w:lvl w:ilvl="0">
      <w:start w:val="1"/>
      <w:numFmt w:val="lowerRoman"/>
      <w:pStyle w:val="Subrec"/>
      <w:lvlText w:val="(%1)"/>
      <w:lvlJc w:val="center"/>
      <w:pPr>
        <w:tabs>
          <w:tab w:val="num" w:pos="1134"/>
        </w:tabs>
        <w:ind w:left="1134" w:hanging="567"/>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1D115B33"/>
    <w:multiLevelType w:val="hybridMultilevel"/>
    <w:tmpl w:val="0A747B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1EF55F28"/>
    <w:multiLevelType w:val="singleLevel"/>
    <w:tmpl w:val="76F8816A"/>
    <w:lvl w:ilvl="0">
      <w:start w:val="1"/>
      <w:numFmt w:val="bullet"/>
      <w:lvlText w:val=""/>
      <w:lvlJc w:val="left"/>
      <w:pPr>
        <w:tabs>
          <w:tab w:val="num" w:pos="360"/>
        </w:tabs>
        <w:ind w:left="360" w:hanging="360"/>
      </w:pPr>
      <w:rPr>
        <w:rFonts w:ascii="Symbol" w:hAnsi="Symbol" w:hint="default"/>
      </w:rPr>
    </w:lvl>
  </w:abstractNum>
  <w:abstractNum w:abstractNumId="18">
    <w:nsid w:val="20227561"/>
    <w:multiLevelType w:val="singleLevel"/>
    <w:tmpl w:val="C0A631B2"/>
    <w:lvl w:ilvl="0">
      <w:start w:val="1"/>
      <w:numFmt w:val="bullet"/>
      <w:lvlText w:val=""/>
      <w:lvlJc w:val="left"/>
      <w:pPr>
        <w:tabs>
          <w:tab w:val="num" w:pos="567"/>
        </w:tabs>
        <w:ind w:left="567" w:hanging="567"/>
      </w:pPr>
      <w:rPr>
        <w:rFonts w:ascii="Symbol" w:hAnsi="Symbol" w:hint="default"/>
      </w:rPr>
    </w:lvl>
  </w:abstractNum>
  <w:abstractNum w:abstractNumId="19">
    <w:nsid w:val="22E60171"/>
    <w:multiLevelType w:val="singleLevel"/>
    <w:tmpl w:val="C2163BE4"/>
    <w:lvl w:ilvl="0">
      <w:start w:val="1"/>
      <w:numFmt w:val="bullet"/>
      <w:pStyle w:val="Dotpointtwo"/>
      <w:lvlText w:val=""/>
      <w:lvlJc w:val="left"/>
      <w:pPr>
        <w:tabs>
          <w:tab w:val="num" w:pos="1134"/>
        </w:tabs>
        <w:ind w:left="1134" w:hanging="567"/>
      </w:pPr>
      <w:rPr>
        <w:rFonts w:ascii="Wingdings" w:hAnsi="Wingdings" w:hint="default"/>
      </w:rPr>
    </w:lvl>
  </w:abstractNum>
  <w:abstractNum w:abstractNumId="20">
    <w:nsid w:val="2756508E"/>
    <w:multiLevelType w:val="hybridMultilevel"/>
    <w:tmpl w:val="22EC43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297765B6"/>
    <w:multiLevelType w:val="hybridMultilevel"/>
    <w:tmpl w:val="A9386380"/>
    <w:lvl w:ilvl="0" w:tplc="0F548AD6">
      <w:numFmt w:val="bullet"/>
      <w:lvlText w:val=""/>
      <w:lvlJc w:val="left"/>
      <w:pPr>
        <w:ind w:left="720" w:hanging="360"/>
      </w:pPr>
      <w:rPr>
        <w:rFonts w:ascii="Wingdings" w:eastAsia="Times New Roman" w:hAnsi="Wing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297B7C0B"/>
    <w:multiLevelType w:val="hybridMultilevel"/>
    <w:tmpl w:val="EBC458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297C46E0"/>
    <w:multiLevelType w:val="singleLevel"/>
    <w:tmpl w:val="F5DE0F34"/>
    <w:lvl w:ilvl="0">
      <w:start w:val="1"/>
      <w:numFmt w:val="decimal"/>
      <w:pStyle w:val="TRNormal"/>
      <w:lvlText w:val="%1."/>
      <w:lvlJc w:val="left"/>
      <w:pPr>
        <w:tabs>
          <w:tab w:val="num" w:pos="360"/>
        </w:tabs>
        <w:ind w:left="360" w:hanging="360"/>
      </w:pPr>
    </w:lvl>
  </w:abstractNum>
  <w:abstractNum w:abstractNumId="24">
    <w:nsid w:val="2B1C09E4"/>
    <w:multiLevelType w:val="singleLevel"/>
    <w:tmpl w:val="73F28EAA"/>
    <w:lvl w:ilvl="0">
      <w:start w:val="1"/>
      <w:numFmt w:val="decimal"/>
      <w:pStyle w:val="BodyTextChapter14"/>
      <w:lvlText w:val="14.%1"/>
      <w:lvlJc w:val="left"/>
      <w:pPr>
        <w:tabs>
          <w:tab w:val="num" w:pos="992"/>
        </w:tabs>
        <w:ind w:left="992" w:hanging="992"/>
      </w:pPr>
      <w:rPr>
        <w:b w:val="0"/>
        <w:i w:val="0"/>
      </w:rPr>
    </w:lvl>
  </w:abstractNum>
  <w:abstractNum w:abstractNumId="25">
    <w:nsid w:val="36313424"/>
    <w:multiLevelType w:val="singleLevel"/>
    <w:tmpl w:val="BDDACE86"/>
    <w:lvl w:ilvl="0">
      <w:start w:val="1"/>
      <w:numFmt w:val="decimal"/>
      <w:pStyle w:val="Chapter9"/>
      <w:lvlText w:val="9.%1"/>
      <w:lvlJc w:val="left"/>
      <w:pPr>
        <w:tabs>
          <w:tab w:val="num" w:pos="737"/>
        </w:tabs>
        <w:ind w:left="737" w:hanging="737"/>
      </w:pPr>
      <w:rPr>
        <w:rFonts w:ascii="Times New Roman" w:hAnsi="Times New Roman" w:hint="default"/>
      </w:rPr>
    </w:lvl>
  </w:abstractNum>
  <w:abstractNum w:abstractNumId="26">
    <w:nsid w:val="36CC6608"/>
    <w:multiLevelType w:val="singleLevel"/>
    <w:tmpl w:val="D05E6476"/>
    <w:lvl w:ilvl="0">
      <w:start w:val="1"/>
      <w:numFmt w:val="bullet"/>
      <w:pStyle w:val="Indentbullet"/>
      <w:lvlText w:val=""/>
      <w:lvlJc w:val="left"/>
      <w:pPr>
        <w:tabs>
          <w:tab w:val="num" w:pos="567"/>
        </w:tabs>
        <w:ind w:left="567" w:hanging="567"/>
      </w:pPr>
      <w:rPr>
        <w:rFonts w:ascii="Symbol" w:hAnsi="Symbol" w:hint="default"/>
        <w:sz w:val="21"/>
      </w:rPr>
    </w:lvl>
  </w:abstractNum>
  <w:abstractNum w:abstractNumId="27">
    <w:nsid w:val="36F63663"/>
    <w:multiLevelType w:val="hybridMultilevel"/>
    <w:tmpl w:val="3EF4A8EA"/>
    <w:lvl w:ilvl="0" w:tplc="E3689DD2">
      <w:numFmt w:val="bullet"/>
      <w:lvlText w:val=""/>
      <w:lvlJc w:val="left"/>
      <w:pPr>
        <w:ind w:left="720" w:hanging="360"/>
      </w:pPr>
      <w:rPr>
        <w:rFonts w:ascii="Wingdings" w:eastAsia="Times New Roman" w:hAnsi="Wing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379D3CFB"/>
    <w:multiLevelType w:val="singleLevel"/>
    <w:tmpl w:val="D5862B78"/>
    <w:lvl w:ilvl="0">
      <w:start w:val="1"/>
      <w:numFmt w:val="lowerRoman"/>
      <w:lvlText w:val="(%1)"/>
      <w:lvlJc w:val="left"/>
      <w:pPr>
        <w:tabs>
          <w:tab w:val="num" w:pos="720"/>
        </w:tabs>
        <w:ind w:left="720" w:hanging="720"/>
      </w:pPr>
      <w:rPr>
        <w:rFonts w:hint="default"/>
      </w:rPr>
    </w:lvl>
  </w:abstractNum>
  <w:abstractNum w:abstractNumId="29">
    <w:nsid w:val="38FE376B"/>
    <w:multiLevelType w:val="singleLevel"/>
    <w:tmpl w:val="3E42CD4E"/>
    <w:lvl w:ilvl="0">
      <w:start w:val="1"/>
      <w:numFmt w:val="decimal"/>
      <w:pStyle w:val="BodyTextChapter17"/>
      <w:lvlText w:val="17.%1"/>
      <w:lvlJc w:val="left"/>
      <w:pPr>
        <w:tabs>
          <w:tab w:val="num" w:pos="992"/>
        </w:tabs>
        <w:ind w:left="992" w:hanging="992"/>
      </w:pPr>
    </w:lvl>
  </w:abstractNum>
  <w:abstractNum w:abstractNumId="30">
    <w:nsid w:val="3E6F66AF"/>
    <w:multiLevelType w:val="singleLevel"/>
    <w:tmpl w:val="60CC1046"/>
    <w:lvl w:ilvl="0">
      <w:start w:val="1"/>
      <w:numFmt w:val="decimal"/>
      <w:pStyle w:val="BodyTextChapter11"/>
      <w:lvlText w:val="11.%1"/>
      <w:lvlJc w:val="left"/>
      <w:pPr>
        <w:tabs>
          <w:tab w:val="num" w:pos="992"/>
        </w:tabs>
        <w:ind w:left="992" w:hanging="992"/>
      </w:pPr>
      <w:rPr>
        <w:rFonts w:ascii="Times New Roman" w:hAnsi="Times New Roman" w:hint="default"/>
        <w:b w:val="0"/>
        <w:i w:val="0"/>
        <w:sz w:val="24"/>
      </w:rPr>
    </w:lvl>
  </w:abstractNum>
  <w:abstractNum w:abstractNumId="31">
    <w:nsid w:val="400969C5"/>
    <w:multiLevelType w:val="singleLevel"/>
    <w:tmpl w:val="0BBA59AA"/>
    <w:lvl w:ilvl="0">
      <w:start w:val="1"/>
      <w:numFmt w:val="decimal"/>
      <w:pStyle w:val="Indentedquotenumbered"/>
      <w:lvlText w:val="%1."/>
      <w:lvlJc w:val="left"/>
      <w:pPr>
        <w:tabs>
          <w:tab w:val="num" w:pos="560"/>
        </w:tabs>
        <w:ind w:left="560" w:hanging="360"/>
      </w:pPr>
      <w:rPr>
        <w:rFonts w:hint="default"/>
      </w:rPr>
    </w:lvl>
  </w:abstractNum>
  <w:abstractNum w:abstractNumId="32">
    <w:nsid w:val="43EF6C28"/>
    <w:multiLevelType w:val="singleLevel"/>
    <w:tmpl w:val="525AC4DE"/>
    <w:lvl w:ilvl="0">
      <w:start w:val="1"/>
      <w:numFmt w:val="decimal"/>
      <w:pStyle w:val="Chapter1"/>
      <w:lvlText w:val="1.%1"/>
      <w:lvlJc w:val="left"/>
      <w:pPr>
        <w:tabs>
          <w:tab w:val="num" w:pos="737"/>
        </w:tabs>
        <w:ind w:left="737" w:hanging="737"/>
      </w:pPr>
      <w:rPr>
        <w:rFonts w:ascii="Times New Roman" w:hAnsi="Times New Roman" w:hint="default"/>
      </w:rPr>
    </w:lvl>
  </w:abstractNum>
  <w:abstractNum w:abstractNumId="33">
    <w:nsid w:val="4FDE4201"/>
    <w:multiLevelType w:val="hybridMultilevel"/>
    <w:tmpl w:val="015A10F4"/>
    <w:lvl w:ilvl="0" w:tplc="0C090001">
      <w:start w:val="1"/>
      <w:numFmt w:val="bullet"/>
      <w:pStyle w:val="Bullets"/>
      <w:lvlText w:val=""/>
      <w:lvlJc w:val="left"/>
      <w:pPr>
        <w:tabs>
          <w:tab w:val="num" w:pos="851"/>
        </w:tabs>
        <w:ind w:left="851" w:hanging="851"/>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524F74B9"/>
    <w:multiLevelType w:val="singleLevel"/>
    <w:tmpl w:val="DDEC2164"/>
    <w:lvl w:ilvl="0">
      <w:start w:val="1"/>
      <w:numFmt w:val="bullet"/>
      <w:pStyle w:val="dotpoint2"/>
      <w:lvlText w:val=""/>
      <w:lvlJc w:val="left"/>
      <w:pPr>
        <w:tabs>
          <w:tab w:val="num" w:pos="360"/>
        </w:tabs>
        <w:ind w:left="340" w:hanging="340"/>
      </w:pPr>
      <w:rPr>
        <w:rFonts w:ascii="Symbol" w:hAnsi="Symbol" w:hint="default"/>
        <w:b w:val="0"/>
        <w:i w:val="0"/>
        <w:sz w:val="20"/>
      </w:rPr>
    </w:lvl>
  </w:abstractNum>
  <w:abstractNum w:abstractNumId="35">
    <w:nsid w:val="54D81EE8"/>
    <w:multiLevelType w:val="singleLevel"/>
    <w:tmpl w:val="B1EC616C"/>
    <w:lvl w:ilvl="0">
      <w:start w:val="1"/>
      <w:numFmt w:val="decimal"/>
      <w:pStyle w:val="Chapter5"/>
      <w:lvlText w:val="5.%1"/>
      <w:lvlJc w:val="left"/>
      <w:pPr>
        <w:tabs>
          <w:tab w:val="num" w:pos="737"/>
        </w:tabs>
        <w:ind w:left="737" w:hanging="737"/>
      </w:pPr>
      <w:rPr>
        <w:rFonts w:ascii="Times New Roman" w:hAnsi="Times New Roman" w:hint="default"/>
      </w:rPr>
    </w:lvl>
  </w:abstractNum>
  <w:abstractNum w:abstractNumId="36">
    <w:nsid w:val="56566859"/>
    <w:multiLevelType w:val="singleLevel"/>
    <w:tmpl w:val="4D7052E0"/>
    <w:lvl w:ilvl="0">
      <w:start w:val="1"/>
      <w:numFmt w:val="bullet"/>
      <w:pStyle w:val="IndentedQuotedotpoint"/>
      <w:lvlText w:val=""/>
      <w:lvlJc w:val="left"/>
      <w:pPr>
        <w:tabs>
          <w:tab w:val="num" w:pos="360"/>
        </w:tabs>
        <w:ind w:left="360" w:hanging="360"/>
      </w:pPr>
      <w:rPr>
        <w:rFonts w:ascii="Symbol" w:hAnsi="Symbol" w:hint="default"/>
      </w:rPr>
    </w:lvl>
  </w:abstractNum>
  <w:abstractNum w:abstractNumId="37">
    <w:nsid w:val="5CEF00B4"/>
    <w:multiLevelType w:val="hybridMultilevel"/>
    <w:tmpl w:val="324E4D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5F9F2A1C"/>
    <w:multiLevelType w:val="singleLevel"/>
    <w:tmpl w:val="0804F3E8"/>
    <w:lvl w:ilvl="0">
      <w:start w:val="1"/>
      <w:numFmt w:val="decimal"/>
      <w:pStyle w:val="Chapter6"/>
      <w:lvlText w:val="6.%1"/>
      <w:lvlJc w:val="left"/>
      <w:pPr>
        <w:tabs>
          <w:tab w:val="num" w:pos="737"/>
        </w:tabs>
        <w:ind w:left="737" w:hanging="737"/>
      </w:pPr>
      <w:rPr>
        <w:rFonts w:ascii="Times New Roman" w:hAnsi="Times New Roman" w:hint="default"/>
      </w:rPr>
    </w:lvl>
  </w:abstractNum>
  <w:abstractNum w:abstractNumId="39">
    <w:nsid w:val="62E83CDD"/>
    <w:multiLevelType w:val="singleLevel"/>
    <w:tmpl w:val="D0E2ECF2"/>
    <w:lvl w:ilvl="0">
      <w:start w:val="1"/>
      <w:numFmt w:val="decimal"/>
      <w:lvlText w:val="13.%1"/>
      <w:lvlJc w:val="left"/>
      <w:pPr>
        <w:tabs>
          <w:tab w:val="num" w:pos="720"/>
        </w:tabs>
        <w:ind w:left="0" w:firstLine="0"/>
      </w:pPr>
      <w:rPr>
        <w:rFonts w:ascii="Times New Roman" w:hAnsi="Times New Roman" w:hint="default"/>
        <w:b w:val="0"/>
        <w:i w:val="0"/>
        <w:sz w:val="24"/>
      </w:rPr>
    </w:lvl>
  </w:abstractNum>
  <w:abstractNum w:abstractNumId="40">
    <w:nsid w:val="63824B6E"/>
    <w:multiLevelType w:val="singleLevel"/>
    <w:tmpl w:val="3C028E8E"/>
    <w:lvl w:ilvl="0">
      <w:start w:val="1"/>
      <w:numFmt w:val="decimal"/>
      <w:lvlText w:val="%1."/>
      <w:lvlJc w:val="left"/>
      <w:pPr>
        <w:tabs>
          <w:tab w:val="num" w:pos="360"/>
        </w:tabs>
        <w:ind w:left="360" w:hanging="360"/>
      </w:pPr>
    </w:lvl>
  </w:abstractNum>
  <w:abstractNum w:abstractNumId="41">
    <w:nsid w:val="638A7250"/>
    <w:multiLevelType w:val="singleLevel"/>
    <w:tmpl w:val="172C5CB8"/>
    <w:lvl w:ilvl="0">
      <w:start w:val="1"/>
      <w:numFmt w:val="lowerLetter"/>
      <w:lvlText w:val="(%1)"/>
      <w:lvlJc w:val="left"/>
      <w:pPr>
        <w:tabs>
          <w:tab w:val="num" w:pos="360"/>
        </w:tabs>
        <w:ind w:left="360" w:hanging="360"/>
      </w:pPr>
    </w:lvl>
  </w:abstractNum>
  <w:abstractNum w:abstractNumId="42">
    <w:nsid w:val="64514234"/>
    <w:multiLevelType w:val="singleLevel"/>
    <w:tmpl w:val="801C4732"/>
    <w:lvl w:ilvl="0">
      <w:start w:val="1"/>
      <w:numFmt w:val="decimal"/>
      <w:pStyle w:val="Chapter7"/>
      <w:lvlText w:val="7.%1"/>
      <w:lvlJc w:val="left"/>
      <w:pPr>
        <w:tabs>
          <w:tab w:val="num" w:pos="737"/>
        </w:tabs>
        <w:ind w:left="737" w:hanging="737"/>
      </w:pPr>
      <w:rPr>
        <w:rFonts w:ascii="Times New Roman" w:hAnsi="Times New Roman" w:hint="default"/>
      </w:rPr>
    </w:lvl>
  </w:abstractNum>
  <w:abstractNum w:abstractNumId="43">
    <w:nsid w:val="66121AE5"/>
    <w:multiLevelType w:val="singleLevel"/>
    <w:tmpl w:val="4476F4D8"/>
    <w:lvl w:ilvl="0">
      <w:start w:val="1"/>
      <w:numFmt w:val="decimal"/>
      <w:pStyle w:val="BodyTextChapter15"/>
      <w:lvlText w:val="15.%1"/>
      <w:lvlJc w:val="left"/>
      <w:pPr>
        <w:tabs>
          <w:tab w:val="num" w:pos="992"/>
        </w:tabs>
        <w:ind w:left="992" w:hanging="992"/>
      </w:pPr>
      <w:rPr>
        <w:b w:val="0"/>
        <w:i w:val="0"/>
      </w:rPr>
    </w:lvl>
  </w:abstractNum>
  <w:abstractNum w:abstractNumId="44">
    <w:nsid w:val="70A258F7"/>
    <w:multiLevelType w:val="hybridMultilevel"/>
    <w:tmpl w:val="824ACC0C"/>
    <w:lvl w:ilvl="0" w:tplc="E3689DD2">
      <w:numFmt w:val="bullet"/>
      <w:lvlText w:val=""/>
      <w:lvlJc w:val="left"/>
      <w:pPr>
        <w:ind w:left="720" w:hanging="360"/>
      </w:pPr>
      <w:rPr>
        <w:rFonts w:ascii="Wingdings" w:eastAsia="Times New Roman" w:hAnsi="Wing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75ED593B"/>
    <w:multiLevelType w:val="singleLevel"/>
    <w:tmpl w:val="01160B50"/>
    <w:lvl w:ilvl="0">
      <w:start w:val="1"/>
      <w:numFmt w:val="decimal"/>
      <w:lvlText w:val="19.%1"/>
      <w:lvlJc w:val="left"/>
      <w:pPr>
        <w:tabs>
          <w:tab w:val="num" w:pos="720"/>
        </w:tabs>
        <w:ind w:left="0" w:firstLine="0"/>
      </w:pPr>
      <w:rPr>
        <w:rFonts w:ascii="Times New Roman" w:hAnsi="Times New Roman" w:hint="default"/>
        <w:b w:val="0"/>
        <w:i w:val="0"/>
        <w:sz w:val="24"/>
      </w:rPr>
    </w:lvl>
  </w:abstractNum>
  <w:abstractNum w:abstractNumId="46">
    <w:nsid w:val="767C4449"/>
    <w:multiLevelType w:val="singleLevel"/>
    <w:tmpl w:val="08D0946E"/>
    <w:lvl w:ilvl="0">
      <w:start w:val="1"/>
      <w:numFmt w:val="bullet"/>
      <w:lvlText w:val=""/>
      <w:lvlJc w:val="left"/>
      <w:pPr>
        <w:tabs>
          <w:tab w:val="num" w:pos="1134"/>
        </w:tabs>
        <w:ind w:left="1134" w:hanging="567"/>
      </w:pPr>
      <w:rPr>
        <w:rFonts w:ascii="Symbol" w:hAnsi="Symbol" w:hint="default"/>
        <w:sz w:val="24"/>
      </w:rPr>
    </w:lvl>
  </w:abstractNum>
  <w:abstractNum w:abstractNumId="47">
    <w:nsid w:val="77A714F8"/>
    <w:multiLevelType w:val="singleLevel"/>
    <w:tmpl w:val="3CEC8266"/>
    <w:lvl w:ilvl="0">
      <w:start w:val="1"/>
      <w:numFmt w:val="bullet"/>
      <w:pStyle w:val="Tabledotpoint"/>
      <w:lvlText w:val=""/>
      <w:lvlJc w:val="left"/>
      <w:pPr>
        <w:tabs>
          <w:tab w:val="num" w:pos="360"/>
        </w:tabs>
        <w:ind w:left="284" w:hanging="284"/>
      </w:pPr>
      <w:rPr>
        <w:rFonts w:ascii="Symbol" w:hAnsi="Symbol" w:hint="default"/>
        <w:b w:val="0"/>
        <w:i w:val="0"/>
        <w:sz w:val="20"/>
      </w:rPr>
    </w:lvl>
  </w:abstractNum>
  <w:abstractNum w:abstractNumId="48">
    <w:nsid w:val="79340049"/>
    <w:multiLevelType w:val="singleLevel"/>
    <w:tmpl w:val="ACFA70CE"/>
    <w:lvl w:ilvl="0">
      <w:start w:val="1"/>
      <w:numFmt w:val="bullet"/>
      <w:pStyle w:val="dotpoint"/>
      <w:lvlText w:val=""/>
      <w:lvlJc w:val="left"/>
      <w:pPr>
        <w:tabs>
          <w:tab w:val="num" w:pos="567"/>
        </w:tabs>
        <w:ind w:left="567" w:hanging="567"/>
      </w:pPr>
      <w:rPr>
        <w:rFonts w:ascii="Symbol" w:hAnsi="Symbol" w:hint="default"/>
        <w:b w:val="0"/>
        <w:i w:val="0"/>
        <w:sz w:val="22"/>
      </w:rPr>
    </w:lvl>
  </w:abstractNum>
  <w:abstractNum w:abstractNumId="49">
    <w:nsid w:val="796D17D1"/>
    <w:multiLevelType w:val="hybridMultilevel"/>
    <w:tmpl w:val="6A7EE610"/>
    <w:lvl w:ilvl="0" w:tplc="83747232">
      <w:numFmt w:val="bullet"/>
      <w:lvlText w:val=""/>
      <w:lvlJc w:val="left"/>
      <w:pPr>
        <w:ind w:left="720" w:hanging="360"/>
      </w:pPr>
      <w:rPr>
        <w:rFonts w:ascii="Wingdings" w:eastAsia="Times New Roman" w:hAnsi="Wing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24"/>
  </w:num>
  <w:num w:numId="4">
    <w:abstractNumId w:val="29"/>
  </w:num>
  <w:num w:numId="5">
    <w:abstractNumId w:val="43"/>
  </w:num>
  <w:num w:numId="6">
    <w:abstractNumId w:val="15"/>
  </w:num>
  <w:num w:numId="7">
    <w:abstractNumId w:val="19"/>
  </w:num>
  <w:num w:numId="8">
    <w:abstractNumId w:val="47"/>
  </w:num>
  <w:num w:numId="9">
    <w:abstractNumId w:val="34"/>
  </w:num>
  <w:num w:numId="10">
    <w:abstractNumId w:val="23"/>
  </w:num>
  <w:num w:numId="11">
    <w:abstractNumId w:val="46"/>
  </w:num>
  <w:num w:numId="12">
    <w:abstractNumId w:val="6"/>
  </w:num>
  <w:num w:numId="13">
    <w:abstractNumId w:val="45"/>
  </w:num>
  <w:num w:numId="14">
    <w:abstractNumId w:val="8"/>
  </w:num>
  <w:num w:numId="15">
    <w:abstractNumId w:val="39"/>
  </w:num>
  <w:num w:numId="16">
    <w:abstractNumId w:val="13"/>
  </w:num>
  <w:num w:numId="17">
    <w:abstractNumId w:val="48"/>
  </w:num>
  <w:num w:numId="18">
    <w:abstractNumId w:val="36"/>
  </w:num>
  <w:num w:numId="19">
    <w:abstractNumId w:val="31"/>
  </w:num>
  <w:num w:numId="20">
    <w:abstractNumId w:val="28"/>
  </w:num>
  <w:num w:numId="21">
    <w:abstractNumId w:val="40"/>
  </w:num>
  <w:num w:numId="22">
    <w:abstractNumId w:val="17"/>
  </w:num>
  <w:num w:numId="23">
    <w:abstractNumId w:val="41"/>
  </w:num>
  <w:num w:numId="24">
    <w:abstractNumId w:val="18"/>
  </w:num>
  <w:num w:numId="25">
    <w:abstractNumId w:val="14"/>
  </w:num>
  <w:num w:numId="26">
    <w:abstractNumId w:val="35"/>
  </w:num>
  <w:num w:numId="27">
    <w:abstractNumId w:val="38"/>
  </w:num>
  <w:num w:numId="28">
    <w:abstractNumId w:val="42"/>
  </w:num>
  <w:num w:numId="29">
    <w:abstractNumId w:val="10"/>
  </w:num>
  <w:num w:numId="30">
    <w:abstractNumId w:val="32"/>
  </w:num>
  <w:num w:numId="31">
    <w:abstractNumId w:val="11"/>
  </w:num>
  <w:num w:numId="32">
    <w:abstractNumId w:val="7"/>
  </w:num>
  <w:num w:numId="33">
    <w:abstractNumId w:val="25"/>
  </w:num>
  <w:num w:numId="34">
    <w:abstractNumId w:val="26"/>
  </w:num>
  <w:num w:numId="35">
    <w:abstractNumId w:val="0"/>
  </w:num>
  <w:num w:numId="36">
    <w:abstractNumId w:val="33"/>
  </w:num>
  <w:num w:numId="37">
    <w:abstractNumId w:val="1"/>
  </w:num>
  <w:num w:numId="38">
    <w:abstractNumId w:val="2"/>
  </w:num>
  <w:num w:numId="39">
    <w:abstractNumId w:val="20"/>
  </w:num>
  <w:num w:numId="40">
    <w:abstractNumId w:val="21"/>
  </w:num>
  <w:num w:numId="41">
    <w:abstractNumId w:val="49"/>
  </w:num>
  <w:num w:numId="42">
    <w:abstractNumId w:val="5"/>
  </w:num>
  <w:num w:numId="43">
    <w:abstractNumId w:val="27"/>
  </w:num>
  <w:num w:numId="44">
    <w:abstractNumId w:val="9"/>
  </w:num>
  <w:num w:numId="45">
    <w:abstractNumId w:val="44"/>
  </w:num>
  <w:num w:numId="46">
    <w:abstractNumId w:val="22"/>
  </w:num>
  <w:num w:numId="47">
    <w:abstractNumId w:val="37"/>
  </w:num>
  <w:num w:numId="48">
    <w:abstractNumId w:val="3"/>
  </w:num>
  <w:num w:numId="49">
    <w:abstractNumId w:val="16"/>
  </w:num>
  <w:num w:numId="50">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CB"/>
    <w:rsid w:val="0000173B"/>
    <w:rsid w:val="000035BC"/>
    <w:rsid w:val="00006576"/>
    <w:rsid w:val="000072B2"/>
    <w:rsid w:val="0001020A"/>
    <w:rsid w:val="00010B38"/>
    <w:rsid w:val="00013B54"/>
    <w:rsid w:val="00021AAD"/>
    <w:rsid w:val="000247B6"/>
    <w:rsid w:val="00034E14"/>
    <w:rsid w:val="000355CD"/>
    <w:rsid w:val="00035D8E"/>
    <w:rsid w:val="0004216A"/>
    <w:rsid w:val="0004222C"/>
    <w:rsid w:val="00043811"/>
    <w:rsid w:val="00043834"/>
    <w:rsid w:val="0004547A"/>
    <w:rsid w:val="00047547"/>
    <w:rsid w:val="00052398"/>
    <w:rsid w:val="00052E67"/>
    <w:rsid w:val="00053B93"/>
    <w:rsid w:val="00054DE9"/>
    <w:rsid w:val="00056DEF"/>
    <w:rsid w:val="00064433"/>
    <w:rsid w:val="00065B56"/>
    <w:rsid w:val="000675DA"/>
    <w:rsid w:val="000701AF"/>
    <w:rsid w:val="00073D78"/>
    <w:rsid w:val="000815E1"/>
    <w:rsid w:val="00082798"/>
    <w:rsid w:val="00087D31"/>
    <w:rsid w:val="00090532"/>
    <w:rsid w:val="00091F35"/>
    <w:rsid w:val="00092A88"/>
    <w:rsid w:val="00093B1A"/>
    <w:rsid w:val="00093B7B"/>
    <w:rsid w:val="00097F07"/>
    <w:rsid w:val="000A42BD"/>
    <w:rsid w:val="000A4493"/>
    <w:rsid w:val="000A67EA"/>
    <w:rsid w:val="000B6C15"/>
    <w:rsid w:val="000B7504"/>
    <w:rsid w:val="000C315D"/>
    <w:rsid w:val="000C5132"/>
    <w:rsid w:val="000C614B"/>
    <w:rsid w:val="000C76C8"/>
    <w:rsid w:val="000D2703"/>
    <w:rsid w:val="000D2DB3"/>
    <w:rsid w:val="000D34C2"/>
    <w:rsid w:val="000D3664"/>
    <w:rsid w:val="000D39EE"/>
    <w:rsid w:val="000D3B26"/>
    <w:rsid w:val="000D44C7"/>
    <w:rsid w:val="000D51A6"/>
    <w:rsid w:val="000D64DC"/>
    <w:rsid w:val="000D7EAB"/>
    <w:rsid w:val="000D7FF6"/>
    <w:rsid w:val="000E2453"/>
    <w:rsid w:val="000E3C50"/>
    <w:rsid w:val="000E57CA"/>
    <w:rsid w:val="000E727F"/>
    <w:rsid w:val="000E7CA9"/>
    <w:rsid w:val="000F06B7"/>
    <w:rsid w:val="000F416A"/>
    <w:rsid w:val="000F5A3A"/>
    <w:rsid w:val="000F76D8"/>
    <w:rsid w:val="00100701"/>
    <w:rsid w:val="00101F99"/>
    <w:rsid w:val="001024ED"/>
    <w:rsid w:val="00103246"/>
    <w:rsid w:val="00107AB0"/>
    <w:rsid w:val="00110CF7"/>
    <w:rsid w:val="00110F9C"/>
    <w:rsid w:val="00117025"/>
    <w:rsid w:val="00125F5F"/>
    <w:rsid w:val="0012655A"/>
    <w:rsid w:val="00132BD8"/>
    <w:rsid w:val="0013506C"/>
    <w:rsid w:val="00136F84"/>
    <w:rsid w:val="00137807"/>
    <w:rsid w:val="001414FB"/>
    <w:rsid w:val="0014781F"/>
    <w:rsid w:val="001479BF"/>
    <w:rsid w:val="00150D8F"/>
    <w:rsid w:val="0015620C"/>
    <w:rsid w:val="0016140A"/>
    <w:rsid w:val="001644E7"/>
    <w:rsid w:val="001657CF"/>
    <w:rsid w:val="00174907"/>
    <w:rsid w:val="00177FF2"/>
    <w:rsid w:val="00180C4C"/>
    <w:rsid w:val="00183873"/>
    <w:rsid w:val="001865A9"/>
    <w:rsid w:val="001876A7"/>
    <w:rsid w:val="0019202F"/>
    <w:rsid w:val="00194000"/>
    <w:rsid w:val="0019464A"/>
    <w:rsid w:val="001948A7"/>
    <w:rsid w:val="00194DFB"/>
    <w:rsid w:val="00196161"/>
    <w:rsid w:val="00196B2F"/>
    <w:rsid w:val="0019735C"/>
    <w:rsid w:val="00197F05"/>
    <w:rsid w:val="001A1F0E"/>
    <w:rsid w:val="001A20DE"/>
    <w:rsid w:val="001A3069"/>
    <w:rsid w:val="001A314B"/>
    <w:rsid w:val="001A68D0"/>
    <w:rsid w:val="001B177C"/>
    <w:rsid w:val="001B4923"/>
    <w:rsid w:val="001C3067"/>
    <w:rsid w:val="001C56A7"/>
    <w:rsid w:val="001C74FD"/>
    <w:rsid w:val="001C7C3B"/>
    <w:rsid w:val="001D12CA"/>
    <w:rsid w:val="001D151F"/>
    <w:rsid w:val="001D1CF7"/>
    <w:rsid w:val="001D34A6"/>
    <w:rsid w:val="001D49FE"/>
    <w:rsid w:val="001D5A11"/>
    <w:rsid w:val="001E0183"/>
    <w:rsid w:val="001E0411"/>
    <w:rsid w:val="001E0D69"/>
    <w:rsid w:val="001E0F7A"/>
    <w:rsid w:val="001E1C90"/>
    <w:rsid w:val="001E29F7"/>
    <w:rsid w:val="001E4FA4"/>
    <w:rsid w:val="001E65F4"/>
    <w:rsid w:val="001E6F95"/>
    <w:rsid w:val="001E797E"/>
    <w:rsid w:val="001F1DD2"/>
    <w:rsid w:val="001F3E8A"/>
    <w:rsid w:val="001F532A"/>
    <w:rsid w:val="001F6243"/>
    <w:rsid w:val="001F6871"/>
    <w:rsid w:val="001F6FB1"/>
    <w:rsid w:val="002010A2"/>
    <w:rsid w:val="00202571"/>
    <w:rsid w:val="00202956"/>
    <w:rsid w:val="0020455C"/>
    <w:rsid w:val="00206B24"/>
    <w:rsid w:val="00210DE8"/>
    <w:rsid w:val="002114CA"/>
    <w:rsid w:val="002117A7"/>
    <w:rsid w:val="00212248"/>
    <w:rsid w:val="002126CB"/>
    <w:rsid w:val="0021448C"/>
    <w:rsid w:val="00222296"/>
    <w:rsid w:val="00225802"/>
    <w:rsid w:val="00226D43"/>
    <w:rsid w:val="00232CDA"/>
    <w:rsid w:val="002354BB"/>
    <w:rsid w:val="00240989"/>
    <w:rsid w:val="00240BCC"/>
    <w:rsid w:val="002411B5"/>
    <w:rsid w:val="00243C13"/>
    <w:rsid w:val="00245F21"/>
    <w:rsid w:val="00245F3B"/>
    <w:rsid w:val="0024625F"/>
    <w:rsid w:val="002464B4"/>
    <w:rsid w:val="00246B6B"/>
    <w:rsid w:val="00247325"/>
    <w:rsid w:val="00252DB7"/>
    <w:rsid w:val="00253A82"/>
    <w:rsid w:val="002557E4"/>
    <w:rsid w:val="00257832"/>
    <w:rsid w:val="00260B7A"/>
    <w:rsid w:val="00261ABA"/>
    <w:rsid w:val="002627C0"/>
    <w:rsid w:val="00266DAC"/>
    <w:rsid w:val="0027111D"/>
    <w:rsid w:val="0027175C"/>
    <w:rsid w:val="00271933"/>
    <w:rsid w:val="0027249F"/>
    <w:rsid w:val="00272A0E"/>
    <w:rsid w:val="0027330C"/>
    <w:rsid w:val="00274A9E"/>
    <w:rsid w:val="00274DEC"/>
    <w:rsid w:val="00277F90"/>
    <w:rsid w:val="002806FB"/>
    <w:rsid w:val="00282E28"/>
    <w:rsid w:val="002833E1"/>
    <w:rsid w:val="00283769"/>
    <w:rsid w:val="00286D7B"/>
    <w:rsid w:val="00291846"/>
    <w:rsid w:val="00294D2C"/>
    <w:rsid w:val="00295DC2"/>
    <w:rsid w:val="00297239"/>
    <w:rsid w:val="00297592"/>
    <w:rsid w:val="002A07CC"/>
    <w:rsid w:val="002A0DA8"/>
    <w:rsid w:val="002A1A63"/>
    <w:rsid w:val="002A3943"/>
    <w:rsid w:val="002A42EC"/>
    <w:rsid w:val="002A7669"/>
    <w:rsid w:val="002A7E43"/>
    <w:rsid w:val="002B016D"/>
    <w:rsid w:val="002B31F5"/>
    <w:rsid w:val="002B43E0"/>
    <w:rsid w:val="002B69C6"/>
    <w:rsid w:val="002B7736"/>
    <w:rsid w:val="002C02A3"/>
    <w:rsid w:val="002C30BB"/>
    <w:rsid w:val="002C4747"/>
    <w:rsid w:val="002C5085"/>
    <w:rsid w:val="002D094D"/>
    <w:rsid w:val="002D7DB4"/>
    <w:rsid w:val="002E2A73"/>
    <w:rsid w:val="002E3D50"/>
    <w:rsid w:val="002E6C4C"/>
    <w:rsid w:val="002E77DC"/>
    <w:rsid w:val="002F1000"/>
    <w:rsid w:val="002F18D9"/>
    <w:rsid w:val="002F340E"/>
    <w:rsid w:val="002F5BF0"/>
    <w:rsid w:val="002F728A"/>
    <w:rsid w:val="0030404B"/>
    <w:rsid w:val="0030585D"/>
    <w:rsid w:val="0031260F"/>
    <w:rsid w:val="00312613"/>
    <w:rsid w:val="00314B22"/>
    <w:rsid w:val="00315A19"/>
    <w:rsid w:val="003168F9"/>
    <w:rsid w:val="00317E43"/>
    <w:rsid w:val="0032048C"/>
    <w:rsid w:val="00323495"/>
    <w:rsid w:val="00324703"/>
    <w:rsid w:val="00324A53"/>
    <w:rsid w:val="00324CD9"/>
    <w:rsid w:val="00331791"/>
    <w:rsid w:val="003332E3"/>
    <w:rsid w:val="00333858"/>
    <w:rsid w:val="00336115"/>
    <w:rsid w:val="00337690"/>
    <w:rsid w:val="0034003D"/>
    <w:rsid w:val="003406A8"/>
    <w:rsid w:val="00341732"/>
    <w:rsid w:val="00342757"/>
    <w:rsid w:val="00342BAC"/>
    <w:rsid w:val="00343B5A"/>
    <w:rsid w:val="00344201"/>
    <w:rsid w:val="003459E0"/>
    <w:rsid w:val="00350373"/>
    <w:rsid w:val="00350A71"/>
    <w:rsid w:val="00350CD2"/>
    <w:rsid w:val="003552E4"/>
    <w:rsid w:val="00356C8D"/>
    <w:rsid w:val="00361B78"/>
    <w:rsid w:val="003714CC"/>
    <w:rsid w:val="00372BFF"/>
    <w:rsid w:val="00374949"/>
    <w:rsid w:val="003765F6"/>
    <w:rsid w:val="003819D9"/>
    <w:rsid w:val="00381DAA"/>
    <w:rsid w:val="003828F7"/>
    <w:rsid w:val="00390211"/>
    <w:rsid w:val="00390BE6"/>
    <w:rsid w:val="00390E40"/>
    <w:rsid w:val="00392469"/>
    <w:rsid w:val="00392A03"/>
    <w:rsid w:val="00395580"/>
    <w:rsid w:val="00396767"/>
    <w:rsid w:val="00397D7B"/>
    <w:rsid w:val="003A1DD6"/>
    <w:rsid w:val="003A315A"/>
    <w:rsid w:val="003A4AE1"/>
    <w:rsid w:val="003A5DDF"/>
    <w:rsid w:val="003B01BC"/>
    <w:rsid w:val="003B485B"/>
    <w:rsid w:val="003B53F6"/>
    <w:rsid w:val="003B6D6D"/>
    <w:rsid w:val="003C0E48"/>
    <w:rsid w:val="003C24C5"/>
    <w:rsid w:val="003C3578"/>
    <w:rsid w:val="003C5274"/>
    <w:rsid w:val="003D1ADF"/>
    <w:rsid w:val="003D271A"/>
    <w:rsid w:val="003D2A32"/>
    <w:rsid w:val="003D34CF"/>
    <w:rsid w:val="003D3ACF"/>
    <w:rsid w:val="003D4578"/>
    <w:rsid w:val="003D5427"/>
    <w:rsid w:val="003D5967"/>
    <w:rsid w:val="003E1560"/>
    <w:rsid w:val="003E2189"/>
    <w:rsid w:val="003E21F5"/>
    <w:rsid w:val="003E24DE"/>
    <w:rsid w:val="003E3A1E"/>
    <w:rsid w:val="003E57B4"/>
    <w:rsid w:val="003E6474"/>
    <w:rsid w:val="003F515B"/>
    <w:rsid w:val="004004FE"/>
    <w:rsid w:val="0040292F"/>
    <w:rsid w:val="00404097"/>
    <w:rsid w:val="004041B4"/>
    <w:rsid w:val="00405C6F"/>
    <w:rsid w:val="00405DF3"/>
    <w:rsid w:val="0040648D"/>
    <w:rsid w:val="00407316"/>
    <w:rsid w:val="00412BF4"/>
    <w:rsid w:val="004141C7"/>
    <w:rsid w:val="00414986"/>
    <w:rsid w:val="00416D3A"/>
    <w:rsid w:val="0042308F"/>
    <w:rsid w:val="004245F7"/>
    <w:rsid w:val="00424DAE"/>
    <w:rsid w:val="0043068B"/>
    <w:rsid w:val="00440AE1"/>
    <w:rsid w:val="0044199C"/>
    <w:rsid w:val="0044400D"/>
    <w:rsid w:val="004453E2"/>
    <w:rsid w:val="00445E22"/>
    <w:rsid w:val="004478CF"/>
    <w:rsid w:val="00447DD9"/>
    <w:rsid w:val="00452AFA"/>
    <w:rsid w:val="00453034"/>
    <w:rsid w:val="004543B5"/>
    <w:rsid w:val="00454F1C"/>
    <w:rsid w:val="0045659A"/>
    <w:rsid w:val="00456793"/>
    <w:rsid w:val="004570A8"/>
    <w:rsid w:val="00457455"/>
    <w:rsid w:val="00457F6C"/>
    <w:rsid w:val="00465C24"/>
    <w:rsid w:val="00466854"/>
    <w:rsid w:val="0047234D"/>
    <w:rsid w:val="0047252E"/>
    <w:rsid w:val="004733A7"/>
    <w:rsid w:val="00475ACF"/>
    <w:rsid w:val="0047682A"/>
    <w:rsid w:val="0048281F"/>
    <w:rsid w:val="00490891"/>
    <w:rsid w:val="00491BCF"/>
    <w:rsid w:val="00491E2B"/>
    <w:rsid w:val="0049257C"/>
    <w:rsid w:val="00492FC0"/>
    <w:rsid w:val="004940B7"/>
    <w:rsid w:val="00495A6C"/>
    <w:rsid w:val="0049619E"/>
    <w:rsid w:val="004A328A"/>
    <w:rsid w:val="004A3688"/>
    <w:rsid w:val="004A662B"/>
    <w:rsid w:val="004A6D7E"/>
    <w:rsid w:val="004B00B4"/>
    <w:rsid w:val="004B199A"/>
    <w:rsid w:val="004B46C2"/>
    <w:rsid w:val="004B6701"/>
    <w:rsid w:val="004C1F0C"/>
    <w:rsid w:val="004C2BB6"/>
    <w:rsid w:val="004C45AF"/>
    <w:rsid w:val="004C6415"/>
    <w:rsid w:val="004C7BF3"/>
    <w:rsid w:val="004C7BFC"/>
    <w:rsid w:val="004D2775"/>
    <w:rsid w:val="004D592E"/>
    <w:rsid w:val="004D7425"/>
    <w:rsid w:val="004E2EA5"/>
    <w:rsid w:val="004E38AE"/>
    <w:rsid w:val="004E5231"/>
    <w:rsid w:val="004E6694"/>
    <w:rsid w:val="004E6E00"/>
    <w:rsid w:val="004E72E5"/>
    <w:rsid w:val="004F2791"/>
    <w:rsid w:val="004F74AA"/>
    <w:rsid w:val="00500DE7"/>
    <w:rsid w:val="00501606"/>
    <w:rsid w:val="005018C3"/>
    <w:rsid w:val="00501A06"/>
    <w:rsid w:val="00502555"/>
    <w:rsid w:val="0050274D"/>
    <w:rsid w:val="00502A7D"/>
    <w:rsid w:val="00503F38"/>
    <w:rsid w:val="005059A9"/>
    <w:rsid w:val="00507AEB"/>
    <w:rsid w:val="00512B89"/>
    <w:rsid w:val="00513FBD"/>
    <w:rsid w:val="00514284"/>
    <w:rsid w:val="0051560E"/>
    <w:rsid w:val="005166D4"/>
    <w:rsid w:val="0051706A"/>
    <w:rsid w:val="00517261"/>
    <w:rsid w:val="00520C6D"/>
    <w:rsid w:val="00522137"/>
    <w:rsid w:val="005224A5"/>
    <w:rsid w:val="00523308"/>
    <w:rsid w:val="00524124"/>
    <w:rsid w:val="00524FB5"/>
    <w:rsid w:val="00524FD0"/>
    <w:rsid w:val="0052585F"/>
    <w:rsid w:val="005316E3"/>
    <w:rsid w:val="00531AF7"/>
    <w:rsid w:val="005333C5"/>
    <w:rsid w:val="00535A1B"/>
    <w:rsid w:val="00536A68"/>
    <w:rsid w:val="0054012C"/>
    <w:rsid w:val="00540515"/>
    <w:rsid w:val="005411FC"/>
    <w:rsid w:val="00542E1C"/>
    <w:rsid w:val="00544067"/>
    <w:rsid w:val="00545DDA"/>
    <w:rsid w:val="00546498"/>
    <w:rsid w:val="005464EC"/>
    <w:rsid w:val="00551435"/>
    <w:rsid w:val="00552EC7"/>
    <w:rsid w:val="005534F9"/>
    <w:rsid w:val="00553A51"/>
    <w:rsid w:val="00560544"/>
    <w:rsid w:val="005605DE"/>
    <w:rsid w:val="00560CE1"/>
    <w:rsid w:val="00561A12"/>
    <w:rsid w:val="00562394"/>
    <w:rsid w:val="00565E35"/>
    <w:rsid w:val="005669BA"/>
    <w:rsid w:val="00570E09"/>
    <w:rsid w:val="00572484"/>
    <w:rsid w:val="005728F9"/>
    <w:rsid w:val="00573448"/>
    <w:rsid w:val="00573B24"/>
    <w:rsid w:val="0057472B"/>
    <w:rsid w:val="005771F6"/>
    <w:rsid w:val="00580E7F"/>
    <w:rsid w:val="005839A2"/>
    <w:rsid w:val="005839D1"/>
    <w:rsid w:val="005840A1"/>
    <w:rsid w:val="005842E4"/>
    <w:rsid w:val="00593D02"/>
    <w:rsid w:val="005945F8"/>
    <w:rsid w:val="00595FD5"/>
    <w:rsid w:val="0059609A"/>
    <w:rsid w:val="00596609"/>
    <w:rsid w:val="005A4DB7"/>
    <w:rsid w:val="005A5137"/>
    <w:rsid w:val="005A5FDA"/>
    <w:rsid w:val="005A6BDF"/>
    <w:rsid w:val="005A798B"/>
    <w:rsid w:val="005A79F1"/>
    <w:rsid w:val="005B65E6"/>
    <w:rsid w:val="005C109E"/>
    <w:rsid w:val="005C351F"/>
    <w:rsid w:val="005D15DA"/>
    <w:rsid w:val="005D36E2"/>
    <w:rsid w:val="005E0F34"/>
    <w:rsid w:val="005E17DC"/>
    <w:rsid w:val="005E33C5"/>
    <w:rsid w:val="005E33F4"/>
    <w:rsid w:val="005E3ACF"/>
    <w:rsid w:val="005E3DAC"/>
    <w:rsid w:val="005E5C7E"/>
    <w:rsid w:val="005E795A"/>
    <w:rsid w:val="005F3469"/>
    <w:rsid w:val="005F71F5"/>
    <w:rsid w:val="006000BF"/>
    <w:rsid w:val="0060098C"/>
    <w:rsid w:val="00605642"/>
    <w:rsid w:val="00607DDB"/>
    <w:rsid w:val="0061002A"/>
    <w:rsid w:val="00610822"/>
    <w:rsid w:val="00610AE9"/>
    <w:rsid w:val="00611DE7"/>
    <w:rsid w:val="006123BE"/>
    <w:rsid w:val="00612A1A"/>
    <w:rsid w:val="006141D6"/>
    <w:rsid w:val="00614EA5"/>
    <w:rsid w:val="0061644E"/>
    <w:rsid w:val="00621998"/>
    <w:rsid w:val="006228CD"/>
    <w:rsid w:val="00623E4A"/>
    <w:rsid w:val="00630F84"/>
    <w:rsid w:val="0063104B"/>
    <w:rsid w:val="006335A7"/>
    <w:rsid w:val="0063689A"/>
    <w:rsid w:val="00641009"/>
    <w:rsid w:val="00642FF8"/>
    <w:rsid w:val="00644EFA"/>
    <w:rsid w:val="0065076A"/>
    <w:rsid w:val="00650C0E"/>
    <w:rsid w:val="0065103F"/>
    <w:rsid w:val="00653689"/>
    <w:rsid w:val="00656789"/>
    <w:rsid w:val="00657C03"/>
    <w:rsid w:val="00664401"/>
    <w:rsid w:val="0067672F"/>
    <w:rsid w:val="00676C37"/>
    <w:rsid w:val="00677EE9"/>
    <w:rsid w:val="00682584"/>
    <w:rsid w:val="00684430"/>
    <w:rsid w:val="006854C1"/>
    <w:rsid w:val="00695006"/>
    <w:rsid w:val="00695AF6"/>
    <w:rsid w:val="0069637F"/>
    <w:rsid w:val="00697D0E"/>
    <w:rsid w:val="006A173D"/>
    <w:rsid w:val="006A18C0"/>
    <w:rsid w:val="006A209C"/>
    <w:rsid w:val="006A32FA"/>
    <w:rsid w:val="006A7367"/>
    <w:rsid w:val="006B0984"/>
    <w:rsid w:val="006B227C"/>
    <w:rsid w:val="006B314F"/>
    <w:rsid w:val="006B495C"/>
    <w:rsid w:val="006B6AB0"/>
    <w:rsid w:val="006C1883"/>
    <w:rsid w:val="006C58A4"/>
    <w:rsid w:val="006C5925"/>
    <w:rsid w:val="006D3213"/>
    <w:rsid w:val="006D5D0A"/>
    <w:rsid w:val="006D646D"/>
    <w:rsid w:val="006E3535"/>
    <w:rsid w:val="006E7613"/>
    <w:rsid w:val="006F08A6"/>
    <w:rsid w:val="006F189A"/>
    <w:rsid w:val="006F430E"/>
    <w:rsid w:val="00701C7E"/>
    <w:rsid w:val="00701DDD"/>
    <w:rsid w:val="0070269D"/>
    <w:rsid w:val="00706E1E"/>
    <w:rsid w:val="0071006B"/>
    <w:rsid w:val="00710E00"/>
    <w:rsid w:val="00711C69"/>
    <w:rsid w:val="00713DC1"/>
    <w:rsid w:val="00715D10"/>
    <w:rsid w:val="00716E95"/>
    <w:rsid w:val="00717DBD"/>
    <w:rsid w:val="00721345"/>
    <w:rsid w:val="007217E7"/>
    <w:rsid w:val="00723284"/>
    <w:rsid w:val="007247AB"/>
    <w:rsid w:val="00724ADE"/>
    <w:rsid w:val="00724D8A"/>
    <w:rsid w:val="007257B6"/>
    <w:rsid w:val="0072605D"/>
    <w:rsid w:val="00726A6B"/>
    <w:rsid w:val="007271DE"/>
    <w:rsid w:val="00730D41"/>
    <w:rsid w:val="007358A7"/>
    <w:rsid w:val="00736752"/>
    <w:rsid w:val="007369D2"/>
    <w:rsid w:val="007413B6"/>
    <w:rsid w:val="0074213D"/>
    <w:rsid w:val="00742779"/>
    <w:rsid w:val="00751906"/>
    <w:rsid w:val="00752FB0"/>
    <w:rsid w:val="00753A19"/>
    <w:rsid w:val="00757611"/>
    <w:rsid w:val="007605D4"/>
    <w:rsid w:val="0076263F"/>
    <w:rsid w:val="0076298F"/>
    <w:rsid w:val="00765296"/>
    <w:rsid w:val="00770A25"/>
    <w:rsid w:val="007713E5"/>
    <w:rsid w:val="0077203F"/>
    <w:rsid w:val="00772541"/>
    <w:rsid w:val="00775205"/>
    <w:rsid w:val="007756E2"/>
    <w:rsid w:val="00776AEC"/>
    <w:rsid w:val="0078209E"/>
    <w:rsid w:val="007829E5"/>
    <w:rsid w:val="0078475F"/>
    <w:rsid w:val="007860AA"/>
    <w:rsid w:val="00786450"/>
    <w:rsid w:val="00787052"/>
    <w:rsid w:val="0078762C"/>
    <w:rsid w:val="0079408C"/>
    <w:rsid w:val="0079778A"/>
    <w:rsid w:val="007A279C"/>
    <w:rsid w:val="007A34A3"/>
    <w:rsid w:val="007A57ED"/>
    <w:rsid w:val="007A674F"/>
    <w:rsid w:val="007A7D95"/>
    <w:rsid w:val="007A7F9D"/>
    <w:rsid w:val="007B3C73"/>
    <w:rsid w:val="007B567C"/>
    <w:rsid w:val="007B71B6"/>
    <w:rsid w:val="007C0E22"/>
    <w:rsid w:val="007C2865"/>
    <w:rsid w:val="007C39BF"/>
    <w:rsid w:val="007C3F8E"/>
    <w:rsid w:val="007C3FD5"/>
    <w:rsid w:val="007C44A0"/>
    <w:rsid w:val="007C51AF"/>
    <w:rsid w:val="007D1A3A"/>
    <w:rsid w:val="007D2517"/>
    <w:rsid w:val="007D271F"/>
    <w:rsid w:val="007D3122"/>
    <w:rsid w:val="007D3C4E"/>
    <w:rsid w:val="007D682D"/>
    <w:rsid w:val="007D6F63"/>
    <w:rsid w:val="007E2548"/>
    <w:rsid w:val="007E69C1"/>
    <w:rsid w:val="007E7996"/>
    <w:rsid w:val="007F2558"/>
    <w:rsid w:val="007F2B45"/>
    <w:rsid w:val="007F5D79"/>
    <w:rsid w:val="007F7F27"/>
    <w:rsid w:val="008004DD"/>
    <w:rsid w:val="00804F8C"/>
    <w:rsid w:val="00806214"/>
    <w:rsid w:val="00807BA4"/>
    <w:rsid w:val="00810960"/>
    <w:rsid w:val="00810978"/>
    <w:rsid w:val="00811831"/>
    <w:rsid w:val="00814FFB"/>
    <w:rsid w:val="008261DD"/>
    <w:rsid w:val="00831947"/>
    <w:rsid w:val="008324D0"/>
    <w:rsid w:val="00834159"/>
    <w:rsid w:val="00836205"/>
    <w:rsid w:val="008410ED"/>
    <w:rsid w:val="008415D4"/>
    <w:rsid w:val="0084177D"/>
    <w:rsid w:val="00842220"/>
    <w:rsid w:val="0085173F"/>
    <w:rsid w:val="00852409"/>
    <w:rsid w:val="00852FD1"/>
    <w:rsid w:val="008602CC"/>
    <w:rsid w:val="008638C4"/>
    <w:rsid w:val="00864096"/>
    <w:rsid w:val="0086409B"/>
    <w:rsid w:val="00866C06"/>
    <w:rsid w:val="008701CE"/>
    <w:rsid w:val="00870F75"/>
    <w:rsid w:val="00871431"/>
    <w:rsid w:val="008732B5"/>
    <w:rsid w:val="00873D54"/>
    <w:rsid w:val="008749E3"/>
    <w:rsid w:val="00875D12"/>
    <w:rsid w:val="00877600"/>
    <w:rsid w:val="00877693"/>
    <w:rsid w:val="008809DC"/>
    <w:rsid w:val="0088792D"/>
    <w:rsid w:val="00890A48"/>
    <w:rsid w:val="00892A9B"/>
    <w:rsid w:val="00892E85"/>
    <w:rsid w:val="0089464E"/>
    <w:rsid w:val="00895936"/>
    <w:rsid w:val="00896B85"/>
    <w:rsid w:val="008A0B9F"/>
    <w:rsid w:val="008A163C"/>
    <w:rsid w:val="008A5EDE"/>
    <w:rsid w:val="008A7D9F"/>
    <w:rsid w:val="008C14DA"/>
    <w:rsid w:val="008C21EF"/>
    <w:rsid w:val="008C2E1E"/>
    <w:rsid w:val="008C30CA"/>
    <w:rsid w:val="008C3904"/>
    <w:rsid w:val="008C549B"/>
    <w:rsid w:val="008C5E39"/>
    <w:rsid w:val="008C61BC"/>
    <w:rsid w:val="008C6C84"/>
    <w:rsid w:val="008C717B"/>
    <w:rsid w:val="008D0598"/>
    <w:rsid w:val="008D3028"/>
    <w:rsid w:val="008D382A"/>
    <w:rsid w:val="008D3F6C"/>
    <w:rsid w:val="008D53AC"/>
    <w:rsid w:val="008D5919"/>
    <w:rsid w:val="008E063A"/>
    <w:rsid w:val="008E33B7"/>
    <w:rsid w:val="008E3B0E"/>
    <w:rsid w:val="008F3B7A"/>
    <w:rsid w:val="008F4493"/>
    <w:rsid w:val="008F4833"/>
    <w:rsid w:val="008F5A3B"/>
    <w:rsid w:val="00901931"/>
    <w:rsid w:val="00902699"/>
    <w:rsid w:val="0090338F"/>
    <w:rsid w:val="00903D08"/>
    <w:rsid w:val="00904905"/>
    <w:rsid w:val="00905068"/>
    <w:rsid w:val="00905D19"/>
    <w:rsid w:val="009062CE"/>
    <w:rsid w:val="00906E94"/>
    <w:rsid w:val="00907499"/>
    <w:rsid w:val="00907A81"/>
    <w:rsid w:val="00913067"/>
    <w:rsid w:val="009136B0"/>
    <w:rsid w:val="00915503"/>
    <w:rsid w:val="0092065A"/>
    <w:rsid w:val="00920958"/>
    <w:rsid w:val="00925FD3"/>
    <w:rsid w:val="009267AB"/>
    <w:rsid w:val="00932902"/>
    <w:rsid w:val="00932F06"/>
    <w:rsid w:val="0093433B"/>
    <w:rsid w:val="009345FB"/>
    <w:rsid w:val="00935299"/>
    <w:rsid w:val="00941A57"/>
    <w:rsid w:val="00942ED4"/>
    <w:rsid w:val="00943C54"/>
    <w:rsid w:val="00945BA5"/>
    <w:rsid w:val="00945BEB"/>
    <w:rsid w:val="009502E9"/>
    <w:rsid w:val="00950C8C"/>
    <w:rsid w:val="00956055"/>
    <w:rsid w:val="009604BA"/>
    <w:rsid w:val="009617D6"/>
    <w:rsid w:val="00961890"/>
    <w:rsid w:val="00961971"/>
    <w:rsid w:val="009667B3"/>
    <w:rsid w:val="00966C18"/>
    <w:rsid w:val="00975CB8"/>
    <w:rsid w:val="00975F2C"/>
    <w:rsid w:val="00981650"/>
    <w:rsid w:val="00982FD4"/>
    <w:rsid w:val="00984F98"/>
    <w:rsid w:val="00985DE9"/>
    <w:rsid w:val="0098677D"/>
    <w:rsid w:val="009909C2"/>
    <w:rsid w:val="009A0CDA"/>
    <w:rsid w:val="009A210B"/>
    <w:rsid w:val="009A583E"/>
    <w:rsid w:val="009A5EA3"/>
    <w:rsid w:val="009A654B"/>
    <w:rsid w:val="009B0EB2"/>
    <w:rsid w:val="009B528C"/>
    <w:rsid w:val="009B557D"/>
    <w:rsid w:val="009C0674"/>
    <w:rsid w:val="009C1839"/>
    <w:rsid w:val="009C31A0"/>
    <w:rsid w:val="009C4262"/>
    <w:rsid w:val="009C55D9"/>
    <w:rsid w:val="009D1CA6"/>
    <w:rsid w:val="009D1CF5"/>
    <w:rsid w:val="009D5285"/>
    <w:rsid w:val="009D6313"/>
    <w:rsid w:val="009E2F0D"/>
    <w:rsid w:val="009E4778"/>
    <w:rsid w:val="009E5A86"/>
    <w:rsid w:val="009E6344"/>
    <w:rsid w:val="009E7970"/>
    <w:rsid w:val="009E7F1E"/>
    <w:rsid w:val="009F09EE"/>
    <w:rsid w:val="009F0F23"/>
    <w:rsid w:val="009F14FC"/>
    <w:rsid w:val="009F151A"/>
    <w:rsid w:val="009F1801"/>
    <w:rsid w:val="009F2B87"/>
    <w:rsid w:val="009F3F8F"/>
    <w:rsid w:val="00A02653"/>
    <w:rsid w:val="00A02C79"/>
    <w:rsid w:val="00A051E6"/>
    <w:rsid w:val="00A052E5"/>
    <w:rsid w:val="00A0560D"/>
    <w:rsid w:val="00A06FD6"/>
    <w:rsid w:val="00A07E59"/>
    <w:rsid w:val="00A07F15"/>
    <w:rsid w:val="00A10303"/>
    <w:rsid w:val="00A107BC"/>
    <w:rsid w:val="00A13138"/>
    <w:rsid w:val="00A13FC5"/>
    <w:rsid w:val="00A14EAC"/>
    <w:rsid w:val="00A15B2D"/>
    <w:rsid w:val="00A16AA4"/>
    <w:rsid w:val="00A22AB5"/>
    <w:rsid w:val="00A252A6"/>
    <w:rsid w:val="00A252D6"/>
    <w:rsid w:val="00A25D2A"/>
    <w:rsid w:val="00A27015"/>
    <w:rsid w:val="00A270BB"/>
    <w:rsid w:val="00A30F5D"/>
    <w:rsid w:val="00A332B1"/>
    <w:rsid w:val="00A3365E"/>
    <w:rsid w:val="00A33881"/>
    <w:rsid w:val="00A36B98"/>
    <w:rsid w:val="00A37613"/>
    <w:rsid w:val="00A41EB5"/>
    <w:rsid w:val="00A42C4D"/>
    <w:rsid w:val="00A45457"/>
    <w:rsid w:val="00A45901"/>
    <w:rsid w:val="00A47159"/>
    <w:rsid w:val="00A4739D"/>
    <w:rsid w:val="00A50AAE"/>
    <w:rsid w:val="00A52154"/>
    <w:rsid w:val="00A5348C"/>
    <w:rsid w:val="00A57BE6"/>
    <w:rsid w:val="00A61D5B"/>
    <w:rsid w:val="00A61EB4"/>
    <w:rsid w:val="00A6221E"/>
    <w:rsid w:val="00A63235"/>
    <w:rsid w:val="00A65505"/>
    <w:rsid w:val="00A6796F"/>
    <w:rsid w:val="00A71034"/>
    <w:rsid w:val="00A710BA"/>
    <w:rsid w:val="00A71D3D"/>
    <w:rsid w:val="00A72560"/>
    <w:rsid w:val="00A72F11"/>
    <w:rsid w:val="00A74802"/>
    <w:rsid w:val="00A7524C"/>
    <w:rsid w:val="00A83152"/>
    <w:rsid w:val="00A83DEA"/>
    <w:rsid w:val="00A842F0"/>
    <w:rsid w:val="00A85B79"/>
    <w:rsid w:val="00A86B67"/>
    <w:rsid w:val="00A87AD9"/>
    <w:rsid w:val="00A9100F"/>
    <w:rsid w:val="00A92A70"/>
    <w:rsid w:val="00AA79D5"/>
    <w:rsid w:val="00AB37A6"/>
    <w:rsid w:val="00AB4213"/>
    <w:rsid w:val="00AB641C"/>
    <w:rsid w:val="00AB718B"/>
    <w:rsid w:val="00AC0389"/>
    <w:rsid w:val="00AC0FAB"/>
    <w:rsid w:val="00AC2DD5"/>
    <w:rsid w:val="00AC3AC5"/>
    <w:rsid w:val="00AC5597"/>
    <w:rsid w:val="00AC5F98"/>
    <w:rsid w:val="00AC7C85"/>
    <w:rsid w:val="00AD0CFC"/>
    <w:rsid w:val="00AD23FB"/>
    <w:rsid w:val="00AD4524"/>
    <w:rsid w:val="00AD47EB"/>
    <w:rsid w:val="00AD6D10"/>
    <w:rsid w:val="00AE0294"/>
    <w:rsid w:val="00AE3386"/>
    <w:rsid w:val="00AE4138"/>
    <w:rsid w:val="00AE753D"/>
    <w:rsid w:val="00AF3497"/>
    <w:rsid w:val="00AF52E5"/>
    <w:rsid w:val="00AF5E94"/>
    <w:rsid w:val="00AF643B"/>
    <w:rsid w:val="00AF6FF5"/>
    <w:rsid w:val="00B000D0"/>
    <w:rsid w:val="00B01384"/>
    <w:rsid w:val="00B01574"/>
    <w:rsid w:val="00B069B5"/>
    <w:rsid w:val="00B07C37"/>
    <w:rsid w:val="00B120C0"/>
    <w:rsid w:val="00B13139"/>
    <w:rsid w:val="00B14043"/>
    <w:rsid w:val="00B17EBE"/>
    <w:rsid w:val="00B235E7"/>
    <w:rsid w:val="00B2760B"/>
    <w:rsid w:val="00B306EA"/>
    <w:rsid w:val="00B342FF"/>
    <w:rsid w:val="00B3436E"/>
    <w:rsid w:val="00B351A1"/>
    <w:rsid w:val="00B4060C"/>
    <w:rsid w:val="00B40DDB"/>
    <w:rsid w:val="00B4337D"/>
    <w:rsid w:val="00B44B2E"/>
    <w:rsid w:val="00B46937"/>
    <w:rsid w:val="00B4783F"/>
    <w:rsid w:val="00B51C29"/>
    <w:rsid w:val="00B52730"/>
    <w:rsid w:val="00B52CAE"/>
    <w:rsid w:val="00B532A1"/>
    <w:rsid w:val="00B5507E"/>
    <w:rsid w:val="00B56447"/>
    <w:rsid w:val="00B574A1"/>
    <w:rsid w:val="00B615AE"/>
    <w:rsid w:val="00B62F4D"/>
    <w:rsid w:val="00B76351"/>
    <w:rsid w:val="00B82613"/>
    <w:rsid w:val="00B82D54"/>
    <w:rsid w:val="00B8363B"/>
    <w:rsid w:val="00B83E96"/>
    <w:rsid w:val="00B911FE"/>
    <w:rsid w:val="00B91543"/>
    <w:rsid w:val="00B95353"/>
    <w:rsid w:val="00B95617"/>
    <w:rsid w:val="00B96C92"/>
    <w:rsid w:val="00B97E82"/>
    <w:rsid w:val="00B97F56"/>
    <w:rsid w:val="00BA061B"/>
    <w:rsid w:val="00BA198C"/>
    <w:rsid w:val="00BA4BA6"/>
    <w:rsid w:val="00BB2F9D"/>
    <w:rsid w:val="00BB4406"/>
    <w:rsid w:val="00BB660B"/>
    <w:rsid w:val="00BC0348"/>
    <w:rsid w:val="00BC4647"/>
    <w:rsid w:val="00BC48CF"/>
    <w:rsid w:val="00BC7360"/>
    <w:rsid w:val="00BC7A51"/>
    <w:rsid w:val="00BD0C36"/>
    <w:rsid w:val="00BD2E7B"/>
    <w:rsid w:val="00BD5D0A"/>
    <w:rsid w:val="00BD6873"/>
    <w:rsid w:val="00BE01B2"/>
    <w:rsid w:val="00BE1413"/>
    <w:rsid w:val="00BE2B0D"/>
    <w:rsid w:val="00BE303D"/>
    <w:rsid w:val="00BF1916"/>
    <w:rsid w:val="00BF1E36"/>
    <w:rsid w:val="00BF22E5"/>
    <w:rsid w:val="00BF4147"/>
    <w:rsid w:val="00BF4568"/>
    <w:rsid w:val="00BF63B8"/>
    <w:rsid w:val="00BF6C6D"/>
    <w:rsid w:val="00BF6CFD"/>
    <w:rsid w:val="00BF6F19"/>
    <w:rsid w:val="00BF7A45"/>
    <w:rsid w:val="00C00482"/>
    <w:rsid w:val="00C0398E"/>
    <w:rsid w:val="00C11A8D"/>
    <w:rsid w:val="00C12379"/>
    <w:rsid w:val="00C14DBE"/>
    <w:rsid w:val="00C15A41"/>
    <w:rsid w:val="00C16D8A"/>
    <w:rsid w:val="00C20A3E"/>
    <w:rsid w:val="00C233EE"/>
    <w:rsid w:val="00C269D0"/>
    <w:rsid w:val="00C311ED"/>
    <w:rsid w:val="00C33EE9"/>
    <w:rsid w:val="00C40CF2"/>
    <w:rsid w:val="00C4204B"/>
    <w:rsid w:val="00C4515B"/>
    <w:rsid w:val="00C50BFC"/>
    <w:rsid w:val="00C512DB"/>
    <w:rsid w:val="00C54A71"/>
    <w:rsid w:val="00C56B40"/>
    <w:rsid w:val="00C57405"/>
    <w:rsid w:val="00C5761E"/>
    <w:rsid w:val="00C60706"/>
    <w:rsid w:val="00C611C7"/>
    <w:rsid w:val="00C61EB6"/>
    <w:rsid w:val="00C62615"/>
    <w:rsid w:val="00C662E9"/>
    <w:rsid w:val="00C669E0"/>
    <w:rsid w:val="00C71390"/>
    <w:rsid w:val="00C71F6E"/>
    <w:rsid w:val="00C74270"/>
    <w:rsid w:val="00C7537A"/>
    <w:rsid w:val="00C75A8C"/>
    <w:rsid w:val="00C767F5"/>
    <w:rsid w:val="00C8090A"/>
    <w:rsid w:val="00C853BD"/>
    <w:rsid w:val="00C873C6"/>
    <w:rsid w:val="00C91155"/>
    <w:rsid w:val="00C91D5C"/>
    <w:rsid w:val="00C95F87"/>
    <w:rsid w:val="00CA4238"/>
    <w:rsid w:val="00CA5D73"/>
    <w:rsid w:val="00CB31B3"/>
    <w:rsid w:val="00CB5D65"/>
    <w:rsid w:val="00CC2E70"/>
    <w:rsid w:val="00CC52F6"/>
    <w:rsid w:val="00CC5AD7"/>
    <w:rsid w:val="00CC5D8E"/>
    <w:rsid w:val="00CC7904"/>
    <w:rsid w:val="00CD11F4"/>
    <w:rsid w:val="00CD2870"/>
    <w:rsid w:val="00CD4A5D"/>
    <w:rsid w:val="00CD6CCB"/>
    <w:rsid w:val="00CD70BF"/>
    <w:rsid w:val="00CE2C92"/>
    <w:rsid w:val="00CE4BF3"/>
    <w:rsid w:val="00CE7102"/>
    <w:rsid w:val="00CF29B8"/>
    <w:rsid w:val="00CF3D9B"/>
    <w:rsid w:val="00CF439A"/>
    <w:rsid w:val="00CF4494"/>
    <w:rsid w:val="00CF5578"/>
    <w:rsid w:val="00CF679C"/>
    <w:rsid w:val="00D01ED7"/>
    <w:rsid w:val="00D02242"/>
    <w:rsid w:val="00D02DF2"/>
    <w:rsid w:val="00D04CB3"/>
    <w:rsid w:val="00D0525B"/>
    <w:rsid w:val="00D052D2"/>
    <w:rsid w:val="00D104F8"/>
    <w:rsid w:val="00D1078A"/>
    <w:rsid w:val="00D11DD4"/>
    <w:rsid w:val="00D132EC"/>
    <w:rsid w:val="00D13EB5"/>
    <w:rsid w:val="00D13FD0"/>
    <w:rsid w:val="00D155EC"/>
    <w:rsid w:val="00D23354"/>
    <w:rsid w:val="00D23F86"/>
    <w:rsid w:val="00D340BC"/>
    <w:rsid w:val="00D3595E"/>
    <w:rsid w:val="00D41C32"/>
    <w:rsid w:val="00D428B5"/>
    <w:rsid w:val="00D45699"/>
    <w:rsid w:val="00D46CF6"/>
    <w:rsid w:val="00D53395"/>
    <w:rsid w:val="00D60D96"/>
    <w:rsid w:val="00D70CED"/>
    <w:rsid w:val="00D74BA9"/>
    <w:rsid w:val="00D8076F"/>
    <w:rsid w:val="00D8382B"/>
    <w:rsid w:val="00D83F0F"/>
    <w:rsid w:val="00D845F1"/>
    <w:rsid w:val="00D90858"/>
    <w:rsid w:val="00D92AC6"/>
    <w:rsid w:val="00D93EE9"/>
    <w:rsid w:val="00D95FF8"/>
    <w:rsid w:val="00D97441"/>
    <w:rsid w:val="00DA15DC"/>
    <w:rsid w:val="00DA3670"/>
    <w:rsid w:val="00DA6473"/>
    <w:rsid w:val="00DA7211"/>
    <w:rsid w:val="00DB0B25"/>
    <w:rsid w:val="00DB207C"/>
    <w:rsid w:val="00DB436E"/>
    <w:rsid w:val="00DB4CC5"/>
    <w:rsid w:val="00DB7BA3"/>
    <w:rsid w:val="00DC0CEF"/>
    <w:rsid w:val="00DC1284"/>
    <w:rsid w:val="00DC233A"/>
    <w:rsid w:val="00DC6603"/>
    <w:rsid w:val="00DD622C"/>
    <w:rsid w:val="00DD7ABC"/>
    <w:rsid w:val="00DE113B"/>
    <w:rsid w:val="00DE1E95"/>
    <w:rsid w:val="00DE6679"/>
    <w:rsid w:val="00DF13F0"/>
    <w:rsid w:val="00DF303E"/>
    <w:rsid w:val="00DF34D9"/>
    <w:rsid w:val="00DF36A7"/>
    <w:rsid w:val="00DF57E3"/>
    <w:rsid w:val="00E020CE"/>
    <w:rsid w:val="00E02CCE"/>
    <w:rsid w:val="00E038B2"/>
    <w:rsid w:val="00E074B3"/>
    <w:rsid w:val="00E11B53"/>
    <w:rsid w:val="00E124C5"/>
    <w:rsid w:val="00E13670"/>
    <w:rsid w:val="00E17BEB"/>
    <w:rsid w:val="00E23BAB"/>
    <w:rsid w:val="00E23E7E"/>
    <w:rsid w:val="00E245D1"/>
    <w:rsid w:val="00E247F5"/>
    <w:rsid w:val="00E253CA"/>
    <w:rsid w:val="00E320D8"/>
    <w:rsid w:val="00E328DD"/>
    <w:rsid w:val="00E34ADF"/>
    <w:rsid w:val="00E352D0"/>
    <w:rsid w:val="00E36958"/>
    <w:rsid w:val="00E4595D"/>
    <w:rsid w:val="00E46CBB"/>
    <w:rsid w:val="00E50B60"/>
    <w:rsid w:val="00E51C28"/>
    <w:rsid w:val="00E52552"/>
    <w:rsid w:val="00E53CDB"/>
    <w:rsid w:val="00E56901"/>
    <w:rsid w:val="00E5747E"/>
    <w:rsid w:val="00E574B3"/>
    <w:rsid w:val="00E617EA"/>
    <w:rsid w:val="00E62A19"/>
    <w:rsid w:val="00E704FF"/>
    <w:rsid w:val="00E70778"/>
    <w:rsid w:val="00E70870"/>
    <w:rsid w:val="00E71CD4"/>
    <w:rsid w:val="00E72E4B"/>
    <w:rsid w:val="00E74D38"/>
    <w:rsid w:val="00E77F8F"/>
    <w:rsid w:val="00E81A2A"/>
    <w:rsid w:val="00E93F78"/>
    <w:rsid w:val="00E93FC5"/>
    <w:rsid w:val="00E943C7"/>
    <w:rsid w:val="00EA30CC"/>
    <w:rsid w:val="00EA38F4"/>
    <w:rsid w:val="00EA3A00"/>
    <w:rsid w:val="00EA3A3B"/>
    <w:rsid w:val="00EA63F8"/>
    <w:rsid w:val="00EA7F38"/>
    <w:rsid w:val="00EB3B2D"/>
    <w:rsid w:val="00EB4ECA"/>
    <w:rsid w:val="00EB544C"/>
    <w:rsid w:val="00EB56F2"/>
    <w:rsid w:val="00EC003E"/>
    <w:rsid w:val="00EC203D"/>
    <w:rsid w:val="00EC66EB"/>
    <w:rsid w:val="00ED1175"/>
    <w:rsid w:val="00ED182A"/>
    <w:rsid w:val="00ED2CE2"/>
    <w:rsid w:val="00ED4A91"/>
    <w:rsid w:val="00ED5D17"/>
    <w:rsid w:val="00ED6EA6"/>
    <w:rsid w:val="00ED70F1"/>
    <w:rsid w:val="00ED7574"/>
    <w:rsid w:val="00EE12E9"/>
    <w:rsid w:val="00EE2376"/>
    <w:rsid w:val="00EE32CE"/>
    <w:rsid w:val="00EE4EEC"/>
    <w:rsid w:val="00EE5D59"/>
    <w:rsid w:val="00EE7B6F"/>
    <w:rsid w:val="00EF2122"/>
    <w:rsid w:val="00EF433C"/>
    <w:rsid w:val="00EF4BAB"/>
    <w:rsid w:val="00EF5026"/>
    <w:rsid w:val="00EF6646"/>
    <w:rsid w:val="00F0046C"/>
    <w:rsid w:val="00F02D45"/>
    <w:rsid w:val="00F033A2"/>
    <w:rsid w:val="00F03941"/>
    <w:rsid w:val="00F040EA"/>
    <w:rsid w:val="00F0462C"/>
    <w:rsid w:val="00F047DD"/>
    <w:rsid w:val="00F04F45"/>
    <w:rsid w:val="00F0776B"/>
    <w:rsid w:val="00F1156E"/>
    <w:rsid w:val="00F11FE2"/>
    <w:rsid w:val="00F15290"/>
    <w:rsid w:val="00F16E3E"/>
    <w:rsid w:val="00F21E88"/>
    <w:rsid w:val="00F23536"/>
    <w:rsid w:val="00F248CB"/>
    <w:rsid w:val="00F251F8"/>
    <w:rsid w:val="00F3009E"/>
    <w:rsid w:val="00F311DA"/>
    <w:rsid w:val="00F3381F"/>
    <w:rsid w:val="00F4056E"/>
    <w:rsid w:val="00F406BD"/>
    <w:rsid w:val="00F4167E"/>
    <w:rsid w:val="00F438F6"/>
    <w:rsid w:val="00F45904"/>
    <w:rsid w:val="00F46824"/>
    <w:rsid w:val="00F548F7"/>
    <w:rsid w:val="00F54CF6"/>
    <w:rsid w:val="00F605B9"/>
    <w:rsid w:val="00F636AD"/>
    <w:rsid w:val="00F65A35"/>
    <w:rsid w:val="00F663FB"/>
    <w:rsid w:val="00F70D62"/>
    <w:rsid w:val="00F72761"/>
    <w:rsid w:val="00F73407"/>
    <w:rsid w:val="00F7623A"/>
    <w:rsid w:val="00F779F6"/>
    <w:rsid w:val="00F77EAE"/>
    <w:rsid w:val="00F808D6"/>
    <w:rsid w:val="00F80A3E"/>
    <w:rsid w:val="00F8174C"/>
    <w:rsid w:val="00F821E7"/>
    <w:rsid w:val="00F831BC"/>
    <w:rsid w:val="00F83510"/>
    <w:rsid w:val="00F83D89"/>
    <w:rsid w:val="00F85625"/>
    <w:rsid w:val="00F8617F"/>
    <w:rsid w:val="00F86B7D"/>
    <w:rsid w:val="00F90851"/>
    <w:rsid w:val="00FA0C43"/>
    <w:rsid w:val="00FA1E70"/>
    <w:rsid w:val="00FA42FD"/>
    <w:rsid w:val="00FA5F4E"/>
    <w:rsid w:val="00FA6199"/>
    <w:rsid w:val="00FA645B"/>
    <w:rsid w:val="00FC0A14"/>
    <w:rsid w:val="00FC18F7"/>
    <w:rsid w:val="00FC2AD1"/>
    <w:rsid w:val="00FC73B6"/>
    <w:rsid w:val="00FC7EFA"/>
    <w:rsid w:val="00FD27D9"/>
    <w:rsid w:val="00FD2863"/>
    <w:rsid w:val="00FD44F8"/>
    <w:rsid w:val="00FD4D5C"/>
    <w:rsid w:val="00FD6706"/>
    <w:rsid w:val="00FD7429"/>
    <w:rsid w:val="00FD7B5E"/>
    <w:rsid w:val="00FE1072"/>
    <w:rsid w:val="00FE1C5C"/>
    <w:rsid w:val="00FE288E"/>
    <w:rsid w:val="00FE3C61"/>
    <w:rsid w:val="00FE4854"/>
    <w:rsid w:val="00FF09F9"/>
    <w:rsid w:val="00FF169B"/>
    <w:rsid w:val="00FF233E"/>
    <w:rsid w:val="00FF2DE7"/>
    <w:rsid w:val="00FF3089"/>
    <w:rsid w:val="00FF36FB"/>
    <w:rsid w:val="00FF59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1C"/>
    <w:pPr>
      <w:jc w:val="both"/>
    </w:pPr>
    <w:rPr>
      <w:sz w:val="24"/>
      <w:lang w:val="en-GB" w:eastAsia="en-AU"/>
    </w:rPr>
  </w:style>
  <w:style w:type="paragraph" w:styleId="Heading1">
    <w:name w:val="heading 1"/>
    <w:aliases w:val="Report Title,Heading 1 Char,Heading 1 Char2 Char1,Heading 1 Char1 Char Char,Heading 1 Char Char Char Char,Heading 1 Char1 Char Char Char Char1,Heading 1 Char Char Char Char Char Char1,Heading 1 Char2 Char Char Char Char Char Char"/>
    <w:basedOn w:val="Normal"/>
    <w:next w:val="Normal"/>
    <w:link w:val="Heading1Char1"/>
    <w:qFormat/>
    <w:pPr>
      <w:keepNext/>
      <w:pBdr>
        <w:bottom w:val="single" w:sz="4" w:space="6" w:color="auto"/>
      </w:pBdr>
      <w:jc w:val="left"/>
      <w:outlineLvl w:val="0"/>
    </w:pPr>
    <w:rPr>
      <w:b/>
      <w:caps/>
      <w:sz w:val="26"/>
      <w:lang w:val="en-NZ"/>
    </w:rPr>
  </w:style>
  <w:style w:type="paragraph" w:styleId="Heading2">
    <w:name w:val="heading 2"/>
    <w:aliases w:val="Heading 2 Char1,Heading 2 Char Char"/>
    <w:basedOn w:val="Normal"/>
    <w:next w:val="Normal"/>
    <w:link w:val="Heading2Char"/>
    <w:qFormat/>
    <w:pPr>
      <w:keepNext/>
      <w:outlineLvl w:val="1"/>
    </w:pPr>
    <w:rPr>
      <w:b/>
    </w:rPr>
  </w:style>
  <w:style w:type="paragraph" w:styleId="Heading3">
    <w:name w:val="heading 3"/>
    <w:aliases w:val="Clauses"/>
    <w:basedOn w:val="Normal"/>
    <w:next w:val="Normal"/>
    <w:qFormat/>
    <w:pPr>
      <w:keepNext/>
      <w:outlineLvl w:val="2"/>
    </w:pPr>
    <w:rPr>
      <w:b/>
      <w:i/>
    </w:rPr>
  </w:style>
  <w:style w:type="paragraph" w:styleId="Heading4">
    <w:name w:val="heading 4"/>
    <w:basedOn w:val="Normal"/>
    <w:next w:val="Normal"/>
    <w:qFormat/>
    <w:pPr>
      <w:keepNext/>
      <w:outlineLvl w:val="3"/>
    </w:pPr>
    <w:rPr>
      <w:i/>
    </w:rPr>
  </w:style>
  <w:style w:type="paragraph" w:styleId="Heading5">
    <w:name w:val="heading 5"/>
    <w:aliases w:val="Heading 5 Char,Heading 5 Char1 Char,Heading 5 Char Char Char"/>
    <w:basedOn w:val="Normal"/>
    <w:next w:val="Normal"/>
    <w:link w:val="Heading5Char1"/>
    <w:qFormat/>
    <w:pPr>
      <w:keepNext/>
      <w:tabs>
        <w:tab w:val="left" w:pos="794"/>
      </w:tabs>
      <w:outlineLvl w:val="4"/>
    </w:pPr>
    <w:rPr>
      <w:b/>
      <w:sz w:val="26"/>
    </w:rPr>
  </w:style>
  <w:style w:type="paragraph" w:styleId="Heading6">
    <w:name w:val="heading 6"/>
    <w:basedOn w:val="Normal"/>
    <w:next w:val="Normal"/>
    <w:qFormat/>
    <w:pPr>
      <w:keepNext/>
      <w:outlineLvl w:val="5"/>
    </w:pPr>
    <w:rPr>
      <w:i/>
      <w:sz w:val="32"/>
    </w:rPr>
  </w:style>
  <w:style w:type="paragraph" w:styleId="Heading7">
    <w:name w:val="heading 7"/>
    <w:basedOn w:val="Normal"/>
    <w:next w:val="Normal"/>
    <w:qFormat/>
    <w:pPr>
      <w:keepNext/>
      <w:outlineLvl w:val="6"/>
    </w:pPr>
    <w:rPr>
      <w:b/>
      <w:smallCaps/>
      <w:spacing w:val="8"/>
    </w:rPr>
  </w:style>
  <w:style w:type="paragraph" w:styleId="Heading8">
    <w:name w:val="heading 8"/>
    <w:aliases w:val="Table heading"/>
    <w:basedOn w:val="Normal"/>
    <w:next w:val="Normal"/>
    <w:qFormat/>
    <w:pPr>
      <w:keepNext/>
      <w:outlineLvl w:val="7"/>
    </w:pPr>
    <w:rPr>
      <w:sz w:val="28"/>
    </w:rPr>
  </w:style>
  <w:style w:type="paragraph" w:styleId="Heading9">
    <w:name w:val="heading 9"/>
    <w:basedOn w:val="Normal"/>
    <w:next w:val="Normal"/>
    <w:qFormat/>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
    <w:name w:val="dot point"/>
    <w:basedOn w:val="Normal"/>
    <w:pPr>
      <w:numPr>
        <w:numId w:val="17"/>
      </w:numPr>
      <w:spacing w:after="140"/>
    </w:pPr>
  </w:style>
  <w:style w:type="paragraph" w:styleId="BodyText">
    <w:name w:val="Body Text"/>
    <w:basedOn w:val="Normal"/>
    <w:link w:val="BodyTextChar"/>
  </w:style>
  <w:style w:type="paragraph" w:styleId="Footer">
    <w:name w:val="footer"/>
    <w:basedOn w:val="Normal"/>
    <w:pPr>
      <w:tabs>
        <w:tab w:val="center" w:pos="4153"/>
        <w:tab w:val="right" w:pos="8306"/>
      </w:tabs>
    </w:pPr>
  </w:style>
  <w:style w:type="character" w:styleId="PageNumber">
    <w:name w:val="page number"/>
    <w:basedOn w:val="DefaultParagraphFont"/>
    <w:rPr>
      <w:sz w:val="22"/>
    </w:rPr>
  </w:style>
  <w:style w:type="paragraph" w:styleId="FootnoteText">
    <w:name w:val="footnote text"/>
    <w:basedOn w:val="Normal"/>
    <w:link w:val="FootnoteTextChar"/>
    <w:uiPriority w:val="99"/>
    <w:semiHidden/>
    <w:rPr>
      <w:sz w:val="20"/>
    </w:rPr>
  </w:style>
  <w:style w:type="character" w:styleId="FootnoteReference">
    <w:name w:val="footnote reference"/>
    <w:basedOn w:val="DefaultParagraphFont"/>
    <w:semiHidden/>
    <w:rPr>
      <w:rFonts w:ascii="Times New Roman" w:hAnsi="Times New Roman"/>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autoRedefine/>
    <w:uiPriority w:val="39"/>
    <w:pPr>
      <w:tabs>
        <w:tab w:val="right" w:pos="8222"/>
      </w:tabs>
      <w:spacing w:before="360" w:after="240"/>
      <w:jc w:val="left"/>
    </w:pPr>
    <w:rPr>
      <w:b/>
      <w:noProof/>
      <w:sz w:val="28"/>
    </w:rPr>
  </w:style>
  <w:style w:type="paragraph" w:styleId="TOC2">
    <w:name w:val="toc 2"/>
    <w:basedOn w:val="Normal"/>
    <w:next w:val="Normal"/>
    <w:autoRedefine/>
    <w:uiPriority w:val="39"/>
    <w:pPr>
      <w:tabs>
        <w:tab w:val="right" w:pos="8222"/>
      </w:tabs>
      <w:spacing w:after="80"/>
      <w:ind w:left="567"/>
      <w:jc w:val="left"/>
    </w:pPr>
    <w:rPr>
      <w:noProof/>
      <w:sz w:val="22"/>
    </w:rPr>
  </w:style>
  <w:style w:type="paragraph" w:styleId="TOC3">
    <w:name w:val="toc 3"/>
    <w:basedOn w:val="Normal"/>
    <w:next w:val="Normal"/>
    <w:autoRedefine/>
    <w:uiPriority w:val="39"/>
    <w:pPr>
      <w:tabs>
        <w:tab w:val="left" w:pos="1701"/>
        <w:tab w:val="right" w:pos="8222"/>
      </w:tabs>
      <w:spacing w:after="40"/>
      <w:ind w:left="1701" w:right="794" w:hanging="567"/>
      <w:jc w:val="left"/>
    </w:pPr>
    <w:rPr>
      <w:noProof/>
      <w:sz w:val="18"/>
    </w:rPr>
  </w:style>
  <w:style w:type="paragraph" w:styleId="TOC4">
    <w:name w:val="toc 4"/>
    <w:basedOn w:val="Normal"/>
    <w:next w:val="Normal"/>
    <w:autoRedefine/>
    <w:semiHidden/>
    <w:pPr>
      <w:tabs>
        <w:tab w:val="right" w:pos="8302"/>
      </w:tabs>
      <w:spacing w:after="60"/>
      <w:ind w:left="1134"/>
    </w:pPr>
    <w:rPr>
      <w:smallCaps/>
      <w:noProof/>
      <w:spacing w:val="8"/>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BodyTextIndent">
    <w:name w:val="Body Text Indent"/>
    <w:basedOn w:val="Normal"/>
    <w:pPr>
      <w:ind w:left="450"/>
    </w:pPr>
    <w:rPr>
      <w:lang w:val="en-NZ"/>
    </w:rPr>
  </w:style>
  <w:style w:type="paragraph" w:styleId="BodyTextIndent2">
    <w:name w:val="Body Text Indent 2"/>
    <w:basedOn w:val="Normal"/>
    <w:pPr>
      <w:ind w:left="450"/>
    </w:pPr>
    <w:rPr>
      <w:lang w:val="en-US"/>
    </w:rPr>
  </w:style>
  <w:style w:type="paragraph" w:styleId="BodyTextIndent3">
    <w:name w:val="Body Text Indent 3"/>
    <w:basedOn w:val="Normal"/>
    <w:pPr>
      <w:ind w:left="465"/>
    </w:pPr>
    <w:rPr>
      <w:lang w:val="en-US"/>
    </w:rPr>
  </w:style>
  <w:style w:type="paragraph" w:styleId="BodyText2">
    <w:name w:val="Body Text 2"/>
    <w:basedOn w:val="Normal"/>
    <w:pPr>
      <w:jc w:val="center"/>
    </w:pPr>
    <w:rPr>
      <w:b/>
      <w:lang w:val="en-US"/>
    </w:rPr>
  </w:style>
  <w:style w:type="paragraph" w:customStyle="1" w:styleId="BodyTextChapter2">
    <w:name w:val="Body Text Chapter 2"/>
    <w:pPr>
      <w:numPr>
        <w:numId w:val="1"/>
      </w:numPr>
      <w:jc w:val="both"/>
    </w:pPr>
    <w:rPr>
      <w:noProof/>
      <w:sz w:val="24"/>
      <w:lang w:val="en-AU" w:eastAsia="en-AU"/>
    </w:rPr>
  </w:style>
  <w:style w:type="paragraph" w:customStyle="1" w:styleId="PartHeading">
    <w:name w:val="PartHeading"/>
    <w:basedOn w:val="Heading1"/>
    <w:pPr>
      <w:pBdr>
        <w:top w:val="single" w:sz="4" w:space="8" w:color="auto"/>
        <w:bottom w:val="single" w:sz="4" w:space="8" w:color="auto"/>
      </w:pBdr>
      <w:jc w:val="center"/>
    </w:pPr>
    <w:rPr>
      <w:b w:val="0"/>
      <w:sz w:val="60"/>
    </w:rPr>
  </w:style>
  <w:style w:type="paragraph" w:customStyle="1" w:styleId="BodyTextChapter11">
    <w:name w:val="Body Text Chapter 11"/>
    <w:pPr>
      <w:numPr>
        <w:numId w:val="2"/>
      </w:numPr>
      <w:jc w:val="both"/>
    </w:pPr>
    <w:rPr>
      <w:noProof/>
      <w:sz w:val="24"/>
      <w:lang w:val="en-AU" w:eastAsia="en-AU"/>
    </w:rPr>
  </w:style>
  <w:style w:type="paragraph" w:customStyle="1" w:styleId="BodyTextChapter14">
    <w:name w:val="Body Text Chapter 14"/>
    <w:pPr>
      <w:numPr>
        <w:numId w:val="3"/>
      </w:numPr>
      <w:jc w:val="both"/>
    </w:pPr>
    <w:rPr>
      <w:noProof/>
      <w:sz w:val="24"/>
      <w:lang w:val="en-AU" w:eastAsia="en-AU"/>
    </w:rPr>
  </w:style>
  <w:style w:type="paragraph" w:customStyle="1" w:styleId="BodyTextChapter17">
    <w:name w:val="Body Text Chapter 17"/>
    <w:pPr>
      <w:numPr>
        <w:numId w:val="4"/>
      </w:numPr>
      <w:jc w:val="both"/>
    </w:pPr>
    <w:rPr>
      <w:noProof/>
      <w:sz w:val="24"/>
      <w:lang w:val="en-AU" w:eastAsia="en-AU"/>
    </w:rPr>
  </w:style>
  <w:style w:type="paragraph" w:customStyle="1" w:styleId="BodyTextChapter15">
    <w:name w:val="Body Text Chapter 15"/>
    <w:pPr>
      <w:numPr>
        <w:numId w:val="5"/>
      </w:numPr>
      <w:jc w:val="both"/>
    </w:pPr>
    <w:rPr>
      <w:noProof/>
      <w:sz w:val="24"/>
      <w:lang w:val="en-AU" w:eastAsia="en-AU"/>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sz w:val="20"/>
    </w:rPr>
  </w:style>
  <w:style w:type="paragraph" w:styleId="DocumentMap">
    <w:name w:val="Document Map"/>
    <w:basedOn w:val="Normal"/>
    <w:semiHidden/>
    <w:pPr>
      <w:shd w:val="clear" w:color="auto" w:fill="000080"/>
    </w:pPr>
    <w:rPr>
      <w:rFonts w:ascii="Tahoma" w:hAnsi="Tahoma"/>
    </w:rPr>
  </w:style>
  <w:style w:type="paragraph" w:customStyle="1" w:styleId="Style1">
    <w:name w:val="Style1"/>
    <w:basedOn w:val="Normal"/>
    <w:rPr>
      <w:lang w:val="en-NZ"/>
    </w:rPr>
  </w:style>
  <w:style w:type="paragraph" w:customStyle="1" w:styleId="TRNormal">
    <w:name w:val="_TRNormal"/>
    <w:pPr>
      <w:numPr>
        <w:numId w:val="10"/>
      </w:numPr>
      <w:tabs>
        <w:tab w:val="clear" w:pos="360"/>
      </w:tabs>
      <w:spacing w:after="240" w:line="300" w:lineRule="atLeast"/>
      <w:ind w:left="567" w:hanging="567"/>
      <w:jc w:val="both"/>
    </w:pPr>
    <w:rPr>
      <w:sz w:val="24"/>
      <w:lang w:eastAsia="en-AU"/>
    </w:rPr>
  </w:style>
  <w:style w:type="paragraph" w:customStyle="1" w:styleId="dotpoint2">
    <w:name w:val="dot point2"/>
    <w:basedOn w:val="Normal"/>
    <w:pPr>
      <w:widowControl w:val="0"/>
      <w:numPr>
        <w:numId w:val="9"/>
      </w:numPr>
    </w:pPr>
  </w:style>
  <w:style w:type="paragraph" w:customStyle="1" w:styleId="recomendation">
    <w:name w:val="recomendation"/>
    <w:basedOn w:val="BodyText"/>
    <w:pPr>
      <w:tabs>
        <w:tab w:val="left" w:pos="567"/>
        <w:tab w:val="left" w:pos="1134"/>
      </w:tabs>
      <w:spacing w:after="180"/>
      <w:ind w:left="567" w:hanging="567"/>
    </w:pPr>
    <w:rPr>
      <w:rFonts w:ascii="Arial" w:hAnsi="Arial"/>
    </w:rPr>
  </w:style>
  <w:style w:type="paragraph" w:customStyle="1" w:styleId="Subrec">
    <w:name w:val="Subrec"/>
    <w:basedOn w:val="BodyText"/>
    <w:pPr>
      <w:numPr>
        <w:numId w:val="6"/>
      </w:numPr>
      <w:spacing w:after="180"/>
    </w:pPr>
    <w:rPr>
      <w:rFonts w:ascii="Arial" w:hAnsi="Arial"/>
    </w:rPr>
  </w:style>
  <w:style w:type="paragraph" w:customStyle="1" w:styleId="Dotpointtwo">
    <w:name w:val="Dot point two"/>
    <w:basedOn w:val="dotpoint"/>
    <w:next w:val="BlockText"/>
    <w:pPr>
      <w:widowControl w:val="0"/>
      <w:numPr>
        <w:numId w:val="7"/>
      </w:numPr>
      <w:spacing w:after="240"/>
    </w:pPr>
  </w:style>
  <w:style w:type="paragraph" w:styleId="BlockText">
    <w:name w:val="Block Text"/>
    <w:basedOn w:val="Normal"/>
    <w:pPr>
      <w:spacing w:after="120"/>
      <w:ind w:left="1440" w:right="1440"/>
    </w:pPr>
    <w:rPr>
      <w:lang w:val="en-NZ"/>
    </w:rPr>
  </w:style>
  <w:style w:type="paragraph" w:customStyle="1" w:styleId="Tabledotpoint">
    <w:name w:val="Table dot point"/>
    <w:basedOn w:val="Normal"/>
    <w:pPr>
      <w:numPr>
        <w:numId w:val="8"/>
      </w:numPr>
      <w:spacing w:after="240"/>
    </w:pPr>
    <w:rPr>
      <w:sz w:val="20"/>
      <w:lang w:val="en-NZ"/>
    </w:rPr>
  </w:style>
  <w:style w:type="paragraph" w:customStyle="1" w:styleId="TRFooter">
    <w:name w:val="_TRFooter"/>
    <w:basedOn w:val="TRNormal"/>
    <w:pPr>
      <w:numPr>
        <w:numId w:val="0"/>
      </w:numPr>
      <w:tabs>
        <w:tab w:val="right" w:pos="9071"/>
      </w:tabs>
      <w:spacing w:after="0" w:line="240" w:lineRule="atLeast"/>
      <w:jc w:val="left"/>
    </w:pPr>
    <w:rPr>
      <w:sz w:val="16"/>
    </w:rPr>
  </w:style>
  <w:style w:type="paragraph" w:customStyle="1" w:styleId="TRHeader">
    <w:name w:val="_TRHeader"/>
    <w:basedOn w:val="TRNormal"/>
    <w:pPr>
      <w:numPr>
        <w:numId w:val="0"/>
      </w:numPr>
      <w:spacing w:after="0"/>
      <w:jc w:val="left"/>
    </w:pPr>
    <w:rPr>
      <w:b/>
      <w:sz w:val="16"/>
    </w:rPr>
  </w:style>
  <w:style w:type="paragraph" w:customStyle="1" w:styleId="TRTitle">
    <w:name w:val="_TRTitle"/>
    <w:basedOn w:val="TRNormal"/>
    <w:next w:val="TRNormal"/>
    <w:pPr>
      <w:numPr>
        <w:numId w:val="0"/>
      </w:numPr>
      <w:pBdr>
        <w:bottom w:val="single" w:sz="8" w:space="1" w:color="auto"/>
      </w:pBdr>
      <w:spacing w:before="360" w:after="120"/>
      <w:ind w:left="2552" w:hanging="2552"/>
      <w:jc w:val="left"/>
    </w:pPr>
    <w:rPr>
      <w:b/>
      <w:sz w:val="32"/>
    </w:rPr>
  </w:style>
  <w:style w:type="paragraph" w:customStyle="1" w:styleId="TRNormalIndent">
    <w:name w:val="_TRNormal Indent"/>
    <w:basedOn w:val="TRNormal"/>
    <w:pPr>
      <w:numPr>
        <w:numId w:val="0"/>
      </w:numPr>
      <w:spacing w:after="0"/>
      <w:jc w:val="left"/>
    </w:pPr>
  </w:style>
  <w:style w:type="paragraph" w:customStyle="1" w:styleId="TRListBullet">
    <w:name w:val="_TRList Bullet"/>
    <w:basedOn w:val="TRNormal"/>
    <w:link w:val="TRListBulletChar"/>
    <w:pPr>
      <w:numPr>
        <w:numId w:val="0"/>
      </w:numPr>
      <w:spacing w:after="200"/>
      <w:ind w:left="539" w:hanging="539"/>
    </w:pPr>
  </w:style>
  <w:style w:type="paragraph" w:customStyle="1" w:styleId="Chapter16">
    <w:name w:val="Chapter16"/>
    <w:pPr>
      <w:tabs>
        <w:tab w:val="left" w:pos="709"/>
      </w:tabs>
      <w:ind w:left="709" w:hanging="709"/>
      <w:jc w:val="both"/>
    </w:pPr>
    <w:rPr>
      <w:sz w:val="24"/>
      <w:lang w:eastAsia="en-AU"/>
    </w:rPr>
  </w:style>
  <w:style w:type="paragraph" w:customStyle="1" w:styleId="Chapter19">
    <w:name w:val="Chapter19"/>
    <w:pPr>
      <w:tabs>
        <w:tab w:val="num" w:pos="720"/>
      </w:tabs>
      <w:ind w:left="709" w:hanging="709"/>
      <w:jc w:val="both"/>
    </w:pPr>
    <w:rPr>
      <w:sz w:val="24"/>
      <w:lang w:eastAsia="en-AU"/>
    </w:rPr>
  </w:style>
  <w:style w:type="paragraph" w:customStyle="1" w:styleId="Chapter110">
    <w:name w:val="Chapter11"/>
    <w:pPr>
      <w:tabs>
        <w:tab w:val="left" w:pos="709"/>
      </w:tabs>
      <w:ind w:left="709" w:hanging="709"/>
      <w:jc w:val="both"/>
    </w:pPr>
    <w:rPr>
      <w:sz w:val="24"/>
      <w:lang w:eastAsia="en-AU"/>
    </w:rPr>
  </w:style>
  <w:style w:type="paragraph" w:customStyle="1" w:styleId="Chapter13">
    <w:name w:val="Chapter13"/>
    <w:pPr>
      <w:tabs>
        <w:tab w:val="left" w:pos="709"/>
      </w:tabs>
      <w:ind w:left="709" w:hanging="709"/>
      <w:jc w:val="both"/>
    </w:pPr>
    <w:rPr>
      <w:sz w:val="24"/>
      <w:lang w:eastAsia="en-AU"/>
    </w:rPr>
  </w:style>
  <w:style w:type="paragraph" w:customStyle="1" w:styleId="dotpointindent">
    <w:name w:val="dot point indent"/>
    <w:pPr>
      <w:tabs>
        <w:tab w:val="num" w:pos="1134"/>
      </w:tabs>
      <w:spacing w:after="140"/>
      <w:ind w:left="1134" w:hanging="567"/>
    </w:pPr>
    <w:rPr>
      <w:noProof/>
      <w:sz w:val="24"/>
      <w:lang w:val="en-AU" w:eastAsia="en-AU"/>
    </w:rPr>
  </w:style>
  <w:style w:type="paragraph" w:customStyle="1" w:styleId="TRFootnoteText">
    <w:name w:val="_TRFootnote Text"/>
    <w:basedOn w:val="Normal"/>
    <w:pPr>
      <w:spacing w:line="300" w:lineRule="atLeast"/>
    </w:pPr>
    <w:rPr>
      <w:sz w:val="16"/>
      <w:lang w:val="en-NZ"/>
    </w:rPr>
  </w:style>
  <w:style w:type="paragraph" w:customStyle="1" w:styleId="TRBodyText">
    <w:name w:val="_TRBody Text"/>
    <w:pPr>
      <w:spacing w:line="300" w:lineRule="atLeast"/>
      <w:jc w:val="both"/>
    </w:pPr>
    <w:rPr>
      <w:sz w:val="24"/>
      <w:lang w:eastAsia="en-AU"/>
    </w:rPr>
  </w:style>
  <w:style w:type="paragraph" w:customStyle="1" w:styleId="IndentedQuotedotpoint">
    <w:name w:val="Indented Quote dot point"/>
    <w:basedOn w:val="Normal"/>
    <w:pPr>
      <w:numPr>
        <w:numId w:val="18"/>
      </w:numPr>
      <w:spacing w:after="120"/>
      <w:ind w:right="749"/>
    </w:pPr>
    <w:rPr>
      <w:sz w:val="20"/>
      <w:lang w:val="en-NZ"/>
    </w:rPr>
  </w:style>
  <w:style w:type="paragraph" w:customStyle="1" w:styleId="Indentedquotenumbered">
    <w:name w:val="Indented quote numbered"/>
    <w:basedOn w:val="Normal"/>
    <w:autoRedefine/>
    <w:pPr>
      <w:numPr>
        <w:numId w:val="19"/>
      </w:numPr>
      <w:tabs>
        <w:tab w:val="left" w:pos="990"/>
        <w:tab w:val="left" w:pos="1350"/>
      </w:tabs>
      <w:spacing w:after="240"/>
      <w:ind w:right="749"/>
    </w:pPr>
    <w:rPr>
      <w:sz w:val="20"/>
      <w:lang w:val="en-NZ"/>
    </w:rPr>
  </w:style>
  <w:style w:type="paragraph" w:customStyle="1" w:styleId="quote-legislation-definitions-paragrapha">
    <w:name w:val="quote - legislation - definitions - paragraph(a)"/>
    <w:basedOn w:val="Normal"/>
    <w:autoRedefine/>
    <w:pPr>
      <w:tabs>
        <w:tab w:val="num" w:pos="360"/>
        <w:tab w:val="left" w:pos="2268"/>
      </w:tabs>
      <w:ind w:left="360" w:right="1785" w:hanging="360"/>
    </w:pPr>
    <w:rPr>
      <w:sz w:val="20"/>
      <w:lang w:val="en-US"/>
    </w:rPr>
  </w:style>
  <w:style w:type="paragraph" w:customStyle="1" w:styleId="quote-legislation-definitions-subparagraphi">
    <w:name w:val="quote - legislation - definitions - subparagraph(i)"/>
    <w:basedOn w:val="Normal"/>
    <w:autoRedefine/>
    <w:pPr>
      <w:tabs>
        <w:tab w:val="num" w:pos="720"/>
        <w:tab w:val="left" w:pos="3261"/>
      </w:tabs>
      <w:ind w:left="720" w:right="1785" w:hanging="720"/>
    </w:pPr>
    <w:rPr>
      <w:sz w:val="20"/>
      <w:lang w:val="en-US"/>
    </w:rPr>
  </w:style>
  <w:style w:type="paragraph" w:customStyle="1" w:styleId="quote-numbered">
    <w:name w:val="quote - numbered"/>
    <w:basedOn w:val="Normal"/>
    <w:autoRedefine/>
    <w:pPr>
      <w:tabs>
        <w:tab w:val="num" w:pos="360"/>
      </w:tabs>
      <w:ind w:left="360" w:hanging="360"/>
    </w:pPr>
    <w:rPr>
      <w:sz w:val="20"/>
      <w:lang w:val="en-US"/>
    </w:rPr>
  </w:style>
  <w:style w:type="paragraph" w:customStyle="1" w:styleId="quote-bullet">
    <w:name w:val="quote - bullet"/>
    <w:basedOn w:val="Normal"/>
    <w:pPr>
      <w:tabs>
        <w:tab w:val="num" w:pos="360"/>
      </w:tabs>
      <w:spacing w:after="120"/>
      <w:ind w:left="360" w:right="1133" w:hanging="360"/>
    </w:pPr>
    <w:rPr>
      <w:sz w:val="20"/>
      <w:lang w:eastAsia="en-US"/>
    </w:rPr>
  </w:style>
  <w:style w:type="paragraph" w:customStyle="1" w:styleId="Bullet">
    <w:name w:val="Bullet"/>
    <w:basedOn w:val="Normal"/>
    <w:pPr>
      <w:tabs>
        <w:tab w:val="num" w:pos="567"/>
      </w:tabs>
      <w:spacing w:after="140"/>
      <w:ind w:left="567" w:hanging="567"/>
    </w:pPr>
    <w:rPr>
      <w:lang w:val="en-NZ"/>
    </w:rPr>
  </w:style>
  <w:style w:type="paragraph" w:customStyle="1" w:styleId="IndentQuote">
    <w:name w:val="IndentQuote"/>
    <w:basedOn w:val="Normal"/>
    <w:pPr>
      <w:ind w:left="567" w:right="657"/>
    </w:pPr>
    <w:rPr>
      <w:sz w:val="22"/>
    </w:rPr>
  </w:style>
  <w:style w:type="paragraph" w:customStyle="1" w:styleId="sectionheading">
    <w:name w:val="section heading"/>
    <w:basedOn w:val="Normal"/>
    <w:autoRedefine/>
    <w:pPr>
      <w:jc w:val="left"/>
    </w:pPr>
    <w:rPr>
      <w:rFonts w:ascii="Arial" w:hAnsi="Arial"/>
      <w:b/>
    </w:rPr>
  </w:style>
  <w:style w:type="paragraph" w:customStyle="1" w:styleId="Chapter3">
    <w:name w:val="Chapter 3"/>
    <w:basedOn w:val="Normal"/>
    <w:pPr>
      <w:numPr>
        <w:numId w:val="25"/>
      </w:numPr>
      <w:spacing w:before="120" w:after="120"/>
    </w:pPr>
    <w:rPr>
      <w:snapToGrid w:val="0"/>
      <w:lang w:val="en-AU" w:eastAsia="en-US"/>
    </w:rPr>
  </w:style>
  <w:style w:type="paragraph" w:customStyle="1" w:styleId="Chapter4">
    <w:name w:val="Chapter 4"/>
    <w:basedOn w:val="Chapter3"/>
    <w:pPr>
      <w:numPr>
        <w:numId w:val="31"/>
      </w:numPr>
      <w:tabs>
        <w:tab w:val="clear" w:pos="737"/>
        <w:tab w:val="num" w:pos="360"/>
      </w:tabs>
      <w:ind w:left="360" w:hanging="360"/>
    </w:pPr>
  </w:style>
  <w:style w:type="paragraph" w:customStyle="1" w:styleId="Chapter5">
    <w:name w:val="Chapter 5"/>
    <w:basedOn w:val="Chapter4"/>
    <w:pPr>
      <w:numPr>
        <w:numId w:val="26"/>
      </w:numPr>
      <w:tabs>
        <w:tab w:val="clear" w:pos="737"/>
        <w:tab w:val="num" w:pos="360"/>
      </w:tabs>
      <w:ind w:left="360" w:hanging="360"/>
    </w:pPr>
  </w:style>
  <w:style w:type="paragraph" w:customStyle="1" w:styleId="Chapter6">
    <w:name w:val="Chapter 6"/>
    <w:basedOn w:val="Chapter5"/>
    <w:pPr>
      <w:numPr>
        <w:numId w:val="27"/>
      </w:numPr>
      <w:tabs>
        <w:tab w:val="clear" w:pos="737"/>
        <w:tab w:val="num" w:pos="360"/>
      </w:tabs>
      <w:ind w:left="360" w:hanging="360"/>
    </w:pPr>
  </w:style>
  <w:style w:type="paragraph" w:customStyle="1" w:styleId="Chapter7">
    <w:name w:val="Chapter 7"/>
    <w:basedOn w:val="Chapter6"/>
    <w:pPr>
      <w:numPr>
        <w:numId w:val="28"/>
      </w:numPr>
      <w:tabs>
        <w:tab w:val="clear" w:pos="737"/>
        <w:tab w:val="num" w:pos="360"/>
      </w:tabs>
      <w:ind w:left="360" w:hanging="360"/>
    </w:pPr>
  </w:style>
  <w:style w:type="paragraph" w:customStyle="1" w:styleId="Chapter9">
    <w:name w:val="Chapter 9"/>
    <w:basedOn w:val="Chapter7"/>
    <w:pPr>
      <w:numPr>
        <w:numId w:val="33"/>
      </w:numPr>
      <w:tabs>
        <w:tab w:val="clear" w:pos="737"/>
        <w:tab w:val="num" w:pos="360"/>
      </w:tabs>
      <w:ind w:left="360" w:hanging="360"/>
    </w:pPr>
  </w:style>
  <w:style w:type="paragraph" w:customStyle="1" w:styleId="Chapter10">
    <w:name w:val="Chapter 10"/>
    <w:basedOn w:val="Normal"/>
    <w:pPr>
      <w:numPr>
        <w:numId w:val="29"/>
      </w:numPr>
      <w:tabs>
        <w:tab w:val="left" w:pos="567"/>
      </w:tabs>
      <w:jc w:val="left"/>
    </w:pPr>
    <w:rPr>
      <w:lang w:val="en-NZ"/>
    </w:rPr>
  </w:style>
  <w:style w:type="paragraph" w:customStyle="1" w:styleId="Chapter8">
    <w:name w:val="Chapter 8"/>
    <w:basedOn w:val="Chapter9"/>
    <w:rPr>
      <w:lang w:val="en-NZ"/>
    </w:rPr>
  </w:style>
  <w:style w:type="paragraph" w:customStyle="1" w:styleId="Chapter1">
    <w:name w:val="Chapter 1"/>
    <w:basedOn w:val="Normal"/>
    <w:pPr>
      <w:numPr>
        <w:numId w:val="30"/>
      </w:numPr>
      <w:spacing w:before="120" w:after="120"/>
    </w:pPr>
    <w:rPr>
      <w:lang w:val="en-NZ"/>
    </w:rPr>
  </w:style>
  <w:style w:type="paragraph" w:customStyle="1" w:styleId="Chapter11">
    <w:name w:val="Chapter 11"/>
    <w:basedOn w:val="Chapter10"/>
    <w:pPr>
      <w:numPr>
        <w:numId w:val="32"/>
      </w:numPr>
      <w:tabs>
        <w:tab w:val="clear" w:pos="567"/>
        <w:tab w:val="clear" w:pos="737"/>
        <w:tab w:val="num" w:pos="360"/>
      </w:tabs>
      <w:spacing w:before="120" w:after="120"/>
      <w:ind w:left="360" w:hanging="360"/>
      <w:jc w:val="both"/>
    </w:pPr>
  </w:style>
  <w:style w:type="paragraph" w:customStyle="1" w:styleId="Indentbullet">
    <w:name w:val="Indent bullet"/>
    <w:basedOn w:val="BodyText"/>
    <w:pPr>
      <w:numPr>
        <w:numId w:val="34"/>
      </w:numPr>
      <w:spacing w:after="140"/>
    </w:pPr>
  </w:style>
  <w:style w:type="paragraph" w:customStyle="1" w:styleId="CharCharCharCharChar1">
    <w:name w:val="Char Char Char Char Char1"/>
    <w:basedOn w:val="Normal"/>
    <w:rsid w:val="00A72F11"/>
    <w:pPr>
      <w:spacing w:after="160" w:line="240" w:lineRule="exact"/>
      <w:jc w:val="left"/>
    </w:pPr>
    <w:rPr>
      <w:rFonts w:ascii="Verdana" w:hAnsi="Verdana"/>
      <w:sz w:val="20"/>
      <w:lang w:val="en-US" w:eastAsia="en-US"/>
    </w:rPr>
  </w:style>
  <w:style w:type="paragraph" w:customStyle="1" w:styleId="TRHeading1">
    <w:name w:val="_TRHeading 1"/>
    <w:next w:val="Normal"/>
    <w:rsid w:val="00A72F11"/>
    <w:pPr>
      <w:keepNext/>
      <w:widowControl w:val="0"/>
      <w:pBdr>
        <w:bottom w:val="single" w:sz="4" w:space="1" w:color="auto"/>
      </w:pBdr>
      <w:spacing w:before="720" w:after="360"/>
    </w:pPr>
    <w:rPr>
      <w:b/>
      <w:sz w:val="28"/>
      <w:lang w:eastAsia="en-AU"/>
    </w:rPr>
  </w:style>
  <w:style w:type="paragraph" w:styleId="ListBullet">
    <w:name w:val="List Bullet"/>
    <w:basedOn w:val="Normal"/>
    <w:rsid w:val="00043834"/>
    <w:pPr>
      <w:numPr>
        <w:numId w:val="35"/>
      </w:numPr>
    </w:pPr>
    <w:rPr>
      <w:szCs w:val="24"/>
      <w:lang w:val="en-NZ" w:eastAsia="en-NZ"/>
    </w:rPr>
  </w:style>
  <w:style w:type="paragraph" w:customStyle="1" w:styleId="Bullets">
    <w:name w:val="Bullets"/>
    <w:basedOn w:val="Normal"/>
    <w:rsid w:val="00B44B2E"/>
    <w:pPr>
      <w:numPr>
        <w:numId w:val="36"/>
      </w:numPr>
      <w:jc w:val="left"/>
    </w:pPr>
    <w:rPr>
      <w:szCs w:val="24"/>
      <w:lang w:val="en-AU"/>
    </w:rPr>
  </w:style>
  <w:style w:type="character" w:customStyle="1" w:styleId="Heading1Char1">
    <w:name w:val="Heading 1 Char1"/>
    <w:aliases w:val="Report Title Char,Heading 1 Char Char,Heading 1 Char2 Char1 Char,Heading 1 Char1 Char Char Char,Heading 1 Char Char Char Char Char,Heading 1 Char1 Char Char Char Char1 Char,Heading 1 Char Char Char Char Char Char1 Char"/>
    <w:basedOn w:val="DefaultParagraphFont"/>
    <w:link w:val="Heading1"/>
    <w:rsid w:val="003B53F6"/>
    <w:rPr>
      <w:b/>
      <w:caps/>
      <w:sz w:val="26"/>
      <w:lang w:val="en-NZ" w:eastAsia="en-AU" w:bidi="ar-SA"/>
    </w:rPr>
  </w:style>
  <w:style w:type="character" w:customStyle="1" w:styleId="BodyTextChar">
    <w:name w:val="Body Text Char"/>
    <w:basedOn w:val="DefaultParagraphFont"/>
    <w:link w:val="BodyText"/>
    <w:rsid w:val="00C662E9"/>
    <w:rPr>
      <w:sz w:val="24"/>
      <w:lang w:val="en-GB" w:eastAsia="en-AU" w:bidi="ar-SA"/>
    </w:rPr>
  </w:style>
  <w:style w:type="character" w:customStyle="1" w:styleId="Heading5Char1">
    <w:name w:val="Heading 5 Char1"/>
    <w:aliases w:val="Heading 5 Char Char,Heading 5 Char1 Char Char,Heading 5 Char Char Char Char"/>
    <w:basedOn w:val="DefaultParagraphFont"/>
    <w:link w:val="Heading5"/>
    <w:rsid w:val="00210DE8"/>
    <w:rPr>
      <w:b/>
      <w:sz w:val="26"/>
      <w:lang w:val="en-GB" w:eastAsia="en-AU" w:bidi="ar-SA"/>
    </w:rPr>
  </w:style>
  <w:style w:type="paragraph" w:styleId="BalloonText">
    <w:name w:val="Balloon Text"/>
    <w:basedOn w:val="Normal"/>
    <w:semiHidden/>
    <w:rsid w:val="00E36958"/>
    <w:rPr>
      <w:rFonts w:ascii="Tahoma" w:hAnsi="Tahoma" w:cs="Tahoma"/>
      <w:sz w:val="16"/>
      <w:szCs w:val="16"/>
    </w:rPr>
  </w:style>
  <w:style w:type="character" w:customStyle="1" w:styleId="Heading2Char">
    <w:name w:val="Heading 2 Char"/>
    <w:aliases w:val="Heading 2 Char1 Char,Heading 2 Char Char Char"/>
    <w:basedOn w:val="DefaultParagraphFont"/>
    <w:link w:val="Heading2"/>
    <w:rsid w:val="007C2865"/>
    <w:rPr>
      <w:b/>
      <w:sz w:val="24"/>
      <w:lang w:val="en-GB" w:eastAsia="en-AU" w:bidi="ar-SA"/>
    </w:rPr>
  </w:style>
  <w:style w:type="table" w:styleId="TableGrid">
    <w:name w:val="Table Grid"/>
    <w:basedOn w:val="TableNormal"/>
    <w:rsid w:val="007C2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ListBulletChar">
    <w:name w:val="_TRList Bullet Char"/>
    <w:basedOn w:val="DefaultParagraphFont"/>
    <w:link w:val="TRListBullet"/>
    <w:rsid w:val="0052585F"/>
    <w:rPr>
      <w:sz w:val="24"/>
      <w:lang w:eastAsia="en-AU"/>
    </w:rPr>
  </w:style>
  <w:style w:type="character" w:styleId="CommentReference">
    <w:name w:val="annotation reference"/>
    <w:basedOn w:val="DefaultParagraphFont"/>
    <w:semiHidden/>
    <w:rsid w:val="00B51C29"/>
    <w:rPr>
      <w:sz w:val="16"/>
      <w:szCs w:val="16"/>
    </w:rPr>
  </w:style>
  <w:style w:type="paragraph" w:styleId="CommentText">
    <w:name w:val="annotation text"/>
    <w:basedOn w:val="Normal"/>
    <w:semiHidden/>
    <w:rsid w:val="00B51C29"/>
    <w:rPr>
      <w:sz w:val="20"/>
    </w:rPr>
  </w:style>
  <w:style w:type="paragraph" w:styleId="NormalWeb">
    <w:name w:val="Normal (Web)"/>
    <w:basedOn w:val="Normal"/>
    <w:uiPriority w:val="99"/>
    <w:rsid w:val="00CD6CCB"/>
    <w:pPr>
      <w:spacing w:before="100" w:after="100"/>
    </w:pPr>
    <w:rPr>
      <w:rFonts w:ascii="Verdana" w:hAnsi="Verdana"/>
      <w:lang w:val="en-AU"/>
    </w:rPr>
  </w:style>
  <w:style w:type="paragraph" w:styleId="ListParagraph">
    <w:name w:val="List Paragraph"/>
    <w:basedOn w:val="Normal"/>
    <w:uiPriority w:val="34"/>
    <w:qFormat/>
    <w:rsid w:val="00E56901"/>
    <w:pPr>
      <w:ind w:left="720"/>
      <w:contextualSpacing/>
    </w:pPr>
  </w:style>
  <w:style w:type="character" w:customStyle="1" w:styleId="FootnoteTextChar">
    <w:name w:val="Footnote Text Char"/>
    <w:basedOn w:val="DefaultParagraphFont"/>
    <w:link w:val="FootnoteText"/>
    <w:uiPriority w:val="99"/>
    <w:semiHidden/>
    <w:rsid w:val="009F0F23"/>
    <w:rPr>
      <w:lang w:val="en-GB" w:eastAsia="en-AU"/>
    </w:rPr>
  </w:style>
  <w:style w:type="character" w:styleId="Hyperlink">
    <w:name w:val="Hyperlink"/>
    <w:basedOn w:val="DefaultParagraphFont"/>
    <w:uiPriority w:val="99"/>
    <w:unhideWhenUsed/>
    <w:rsid w:val="00056D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1C"/>
    <w:pPr>
      <w:jc w:val="both"/>
    </w:pPr>
    <w:rPr>
      <w:sz w:val="24"/>
      <w:lang w:val="en-GB" w:eastAsia="en-AU"/>
    </w:rPr>
  </w:style>
  <w:style w:type="paragraph" w:styleId="Heading1">
    <w:name w:val="heading 1"/>
    <w:aliases w:val="Report Title,Heading 1 Char,Heading 1 Char2 Char1,Heading 1 Char1 Char Char,Heading 1 Char Char Char Char,Heading 1 Char1 Char Char Char Char1,Heading 1 Char Char Char Char Char Char1,Heading 1 Char2 Char Char Char Char Char Char"/>
    <w:basedOn w:val="Normal"/>
    <w:next w:val="Normal"/>
    <w:link w:val="Heading1Char1"/>
    <w:qFormat/>
    <w:pPr>
      <w:keepNext/>
      <w:pBdr>
        <w:bottom w:val="single" w:sz="4" w:space="6" w:color="auto"/>
      </w:pBdr>
      <w:jc w:val="left"/>
      <w:outlineLvl w:val="0"/>
    </w:pPr>
    <w:rPr>
      <w:b/>
      <w:caps/>
      <w:sz w:val="26"/>
      <w:lang w:val="en-NZ"/>
    </w:rPr>
  </w:style>
  <w:style w:type="paragraph" w:styleId="Heading2">
    <w:name w:val="heading 2"/>
    <w:aliases w:val="Heading 2 Char1,Heading 2 Char Char"/>
    <w:basedOn w:val="Normal"/>
    <w:next w:val="Normal"/>
    <w:link w:val="Heading2Char"/>
    <w:qFormat/>
    <w:pPr>
      <w:keepNext/>
      <w:outlineLvl w:val="1"/>
    </w:pPr>
    <w:rPr>
      <w:b/>
    </w:rPr>
  </w:style>
  <w:style w:type="paragraph" w:styleId="Heading3">
    <w:name w:val="heading 3"/>
    <w:aliases w:val="Clauses"/>
    <w:basedOn w:val="Normal"/>
    <w:next w:val="Normal"/>
    <w:qFormat/>
    <w:pPr>
      <w:keepNext/>
      <w:outlineLvl w:val="2"/>
    </w:pPr>
    <w:rPr>
      <w:b/>
      <w:i/>
    </w:rPr>
  </w:style>
  <w:style w:type="paragraph" w:styleId="Heading4">
    <w:name w:val="heading 4"/>
    <w:basedOn w:val="Normal"/>
    <w:next w:val="Normal"/>
    <w:qFormat/>
    <w:pPr>
      <w:keepNext/>
      <w:outlineLvl w:val="3"/>
    </w:pPr>
    <w:rPr>
      <w:i/>
    </w:rPr>
  </w:style>
  <w:style w:type="paragraph" w:styleId="Heading5">
    <w:name w:val="heading 5"/>
    <w:aliases w:val="Heading 5 Char,Heading 5 Char1 Char,Heading 5 Char Char Char"/>
    <w:basedOn w:val="Normal"/>
    <w:next w:val="Normal"/>
    <w:link w:val="Heading5Char1"/>
    <w:qFormat/>
    <w:pPr>
      <w:keepNext/>
      <w:tabs>
        <w:tab w:val="left" w:pos="794"/>
      </w:tabs>
      <w:outlineLvl w:val="4"/>
    </w:pPr>
    <w:rPr>
      <w:b/>
      <w:sz w:val="26"/>
    </w:rPr>
  </w:style>
  <w:style w:type="paragraph" w:styleId="Heading6">
    <w:name w:val="heading 6"/>
    <w:basedOn w:val="Normal"/>
    <w:next w:val="Normal"/>
    <w:qFormat/>
    <w:pPr>
      <w:keepNext/>
      <w:outlineLvl w:val="5"/>
    </w:pPr>
    <w:rPr>
      <w:i/>
      <w:sz w:val="32"/>
    </w:rPr>
  </w:style>
  <w:style w:type="paragraph" w:styleId="Heading7">
    <w:name w:val="heading 7"/>
    <w:basedOn w:val="Normal"/>
    <w:next w:val="Normal"/>
    <w:qFormat/>
    <w:pPr>
      <w:keepNext/>
      <w:outlineLvl w:val="6"/>
    </w:pPr>
    <w:rPr>
      <w:b/>
      <w:smallCaps/>
      <w:spacing w:val="8"/>
    </w:rPr>
  </w:style>
  <w:style w:type="paragraph" w:styleId="Heading8">
    <w:name w:val="heading 8"/>
    <w:aliases w:val="Table heading"/>
    <w:basedOn w:val="Normal"/>
    <w:next w:val="Normal"/>
    <w:qFormat/>
    <w:pPr>
      <w:keepNext/>
      <w:outlineLvl w:val="7"/>
    </w:pPr>
    <w:rPr>
      <w:sz w:val="28"/>
    </w:rPr>
  </w:style>
  <w:style w:type="paragraph" w:styleId="Heading9">
    <w:name w:val="heading 9"/>
    <w:basedOn w:val="Normal"/>
    <w:next w:val="Normal"/>
    <w:qFormat/>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
    <w:name w:val="dot point"/>
    <w:basedOn w:val="Normal"/>
    <w:pPr>
      <w:numPr>
        <w:numId w:val="17"/>
      </w:numPr>
      <w:spacing w:after="140"/>
    </w:pPr>
  </w:style>
  <w:style w:type="paragraph" w:styleId="BodyText">
    <w:name w:val="Body Text"/>
    <w:basedOn w:val="Normal"/>
    <w:link w:val="BodyTextChar"/>
  </w:style>
  <w:style w:type="paragraph" w:styleId="Footer">
    <w:name w:val="footer"/>
    <w:basedOn w:val="Normal"/>
    <w:pPr>
      <w:tabs>
        <w:tab w:val="center" w:pos="4153"/>
        <w:tab w:val="right" w:pos="8306"/>
      </w:tabs>
    </w:pPr>
  </w:style>
  <w:style w:type="character" w:styleId="PageNumber">
    <w:name w:val="page number"/>
    <w:basedOn w:val="DefaultParagraphFont"/>
    <w:rPr>
      <w:sz w:val="22"/>
    </w:rPr>
  </w:style>
  <w:style w:type="paragraph" w:styleId="FootnoteText">
    <w:name w:val="footnote text"/>
    <w:basedOn w:val="Normal"/>
    <w:link w:val="FootnoteTextChar"/>
    <w:uiPriority w:val="99"/>
    <w:semiHidden/>
    <w:rPr>
      <w:sz w:val="20"/>
    </w:rPr>
  </w:style>
  <w:style w:type="character" w:styleId="FootnoteReference">
    <w:name w:val="footnote reference"/>
    <w:basedOn w:val="DefaultParagraphFont"/>
    <w:semiHidden/>
    <w:rPr>
      <w:rFonts w:ascii="Times New Roman" w:hAnsi="Times New Roman"/>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autoRedefine/>
    <w:uiPriority w:val="39"/>
    <w:pPr>
      <w:tabs>
        <w:tab w:val="right" w:pos="8222"/>
      </w:tabs>
      <w:spacing w:before="360" w:after="240"/>
      <w:jc w:val="left"/>
    </w:pPr>
    <w:rPr>
      <w:b/>
      <w:noProof/>
      <w:sz w:val="28"/>
    </w:rPr>
  </w:style>
  <w:style w:type="paragraph" w:styleId="TOC2">
    <w:name w:val="toc 2"/>
    <w:basedOn w:val="Normal"/>
    <w:next w:val="Normal"/>
    <w:autoRedefine/>
    <w:uiPriority w:val="39"/>
    <w:pPr>
      <w:tabs>
        <w:tab w:val="right" w:pos="8222"/>
      </w:tabs>
      <w:spacing w:after="80"/>
      <w:ind w:left="567"/>
      <w:jc w:val="left"/>
    </w:pPr>
    <w:rPr>
      <w:noProof/>
      <w:sz w:val="22"/>
    </w:rPr>
  </w:style>
  <w:style w:type="paragraph" w:styleId="TOC3">
    <w:name w:val="toc 3"/>
    <w:basedOn w:val="Normal"/>
    <w:next w:val="Normal"/>
    <w:autoRedefine/>
    <w:uiPriority w:val="39"/>
    <w:pPr>
      <w:tabs>
        <w:tab w:val="left" w:pos="1701"/>
        <w:tab w:val="right" w:pos="8222"/>
      </w:tabs>
      <w:spacing w:after="40"/>
      <w:ind w:left="1701" w:right="794" w:hanging="567"/>
      <w:jc w:val="left"/>
    </w:pPr>
    <w:rPr>
      <w:noProof/>
      <w:sz w:val="18"/>
    </w:rPr>
  </w:style>
  <w:style w:type="paragraph" w:styleId="TOC4">
    <w:name w:val="toc 4"/>
    <w:basedOn w:val="Normal"/>
    <w:next w:val="Normal"/>
    <w:autoRedefine/>
    <w:semiHidden/>
    <w:pPr>
      <w:tabs>
        <w:tab w:val="right" w:pos="8302"/>
      </w:tabs>
      <w:spacing w:after="60"/>
      <w:ind w:left="1134"/>
    </w:pPr>
    <w:rPr>
      <w:smallCaps/>
      <w:noProof/>
      <w:spacing w:val="8"/>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BodyTextIndent">
    <w:name w:val="Body Text Indent"/>
    <w:basedOn w:val="Normal"/>
    <w:pPr>
      <w:ind w:left="450"/>
    </w:pPr>
    <w:rPr>
      <w:lang w:val="en-NZ"/>
    </w:rPr>
  </w:style>
  <w:style w:type="paragraph" w:styleId="BodyTextIndent2">
    <w:name w:val="Body Text Indent 2"/>
    <w:basedOn w:val="Normal"/>
    <w:pPr>
      <w:ind w:left="450"/>
    </w:pPr>
    <w:rPr>
      <w:lang w:val="en-US"/>
    </w:rPr>
  </w:style>
  <w:style w:type="paragraph" w:styleId="BodyTextIndent3">
    <w:name w:val="Body Text Indent 3"/>
    <w:basedOn w:val="Normal"/>
    <w:pPr>
      <w:ind w:left="465"/>
    </w:pPr>
    <w:rPr>
      <w:lang w:val="en-US"/>
    </w:rPr>
  </w:style>
  <w:style w:type="paragraph" w:styleId="BodyText2">
    <w:name w:val="Body Text 2"/>
    <w:basedOn w:val="Normal"/>
    <w:pPr>
      <w:jc w:val="center"/>
    </w:pPr>
    <w:rPr>
      <w:b/>
      <w:lang w:val="en-US"/>
    </w:rPr>
  </w:style>
  <w:style w:type="paragraph" w:customStyle="1" w:styleId="BodyTextChapter2">
    <w:name w:val="Body Text Chapter 2"/>
    <w:pPr>
      <w:numPr>
        <w:numId w:val="1"/>
      </w:numPr>
      <w:jc w:val="both"/>
    </w:pPr>
    <w:rPr>
      <w:noProof/>
      <w:sz w:val="24"/>
      <w:lang w:val="en-AU" w:eastAsia="en-AU"/>
    </w:rPr>
  </w:style>
  <w:style w:type="paragraph" w:customStyle="1" w:styleId="PartHeading">
    <w:name w:val="PartHeading"/>
    <w:basedOn w:val="Heading1"/>
    <w:pPr>
      <w:pBdr>
        <w:top w:val="single" w:sz="4" w:space="8" w:color="auto"/>
        <w:bottom w:val="single" w:sz="4" w:space="8" w:color="auto"/>
      </w:pBdr>
      <w:jc w:val="center"/>
    </w:pPr>
    <w:rPr>
      <w:b w:val="0"/>
      <w:sz w:val="60"/>
    </w:rPr>
  </w:style>
  <w:style w:type="paragraph" w:customStyle="1" w:styleId="BodyTextChapter11">
    <w:name w:val="Body Text Chapter 11"/>
    <w:pPr>
      <w:numPr>
        <w:numId w:val="2"/>
      </w:numPr>
      <w:jc w:val="both"/>
    </w:pPr>
    <w:rPr>
      <w:noProof/>
      <w:sz w:val="24"/>
      <w:lang w:val="en-AU" w:eastAsia="en-AU"/>
    </w:rPr>
  </w:style>
  <w:style w:type="paragraph" w:customStyle="1" w:styleId="BodyTextChapter14">
    <w:name w:val="Body Text Chapter 14"/>
    <w:pPr>
      <w:numPr>
        <w:numId w:val="3"/>
      </w:numPr>
      <w:jc w:val="both"/>
    </w:pPr>
    <w:rPr>
      <w:noProof/>
      <w:sz w:val="24"/>
      <w:lang w:val="en-AU" w:eastAsia="en-AU"/>
    </w:rPr>
  </w:style>
  <w:style w:type="paragraph" w:customStyle="1" w:styleId="BodyTextChapter17">
    <w:name w:val="Body Text Chapter 17"/>
    <w:pPr>
      <w:numPr>
        <w:numId w:val="4"/>
      </w:numPr>
      <w:jc w:val="both"/>
    </w:pPr>
    <w:rPr>
      <w:noProof/>
      <w:sz w:val="24"/>
      <w:lang w:val="en-AU" w:eastAsia="en-AU"/>
    </w:rPr>
  </w:style>
  <w:style w:type="paragraph" w:customStyle="1" w:styleId="BodyTextChapter15">
    <w:name w:val="Body Text Chapter 15"/>
    <w:pPr>
      <w:numPr>
        <w:numId w:val="5"/>
      </w:numPr>
      <w:jc w:val="both"/>
    </w:pPr>
    <w:rPr>
      <w:noProof/>
      <w:sz w:val="24"/>
      <w:lang w:val="en-AU" w:eastAsia="en-AU"/>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sz w:val="20"/>
    </w:rPr>
  </w:style>
  <w:style w:type="paragraph" w:styleId="DocumentMap">
    <w:name w:val="Document Map"/>
    <w:basedOn w:val="Normal"/>
    <w:semiHidden/>
    <w:pPr>
      <w:shd w:val="clear" w:color="auto" w:fill="000080"/>
    </w:pPr>
    <w:rPr>
      <w:rFonts w:ascii="Tahoma" w:hAnsi="Tahoma"/>
    </w:rPr>
  </w:style>
  <w:style w:type="paragraph" w:customStyle="1" w:styleId="Style1">
    <w:name w:val="Style1"/>
    <w:basedOn w:val="Normal"/>
    <w:rPr>
      <w:lang w:val="en-NZ"/>
    </w:rPr>
  </w:style>
  <w:style w:type="paragraph" w:customStyle="1" w:styleId="TRNormal">
    <w:name w:val="_TRNormal"/>
    <w:pPr>
      <w:numPr>
        <w:numId w:val="10"/>
      </w:numPr>
      <w:tabs>
        <w:tab w:val="clear" w:pos="360"/>
      </w:tabs>
      <w:spacing w:after="240" w:line="300" w:lineRule="atLeast"/>
      <w:ind w:left="567" w:hanging="567"/>
      <w:jc w:val="both"/>
    </w:pPr>
    <w:rPr>
      <w:sz w:val="24"/>
      <w:lang w:eastAsia="en-AU"/>
    </w:rPr>
  </w:style>
  <w:style w:type="paragraph" w:customStyle="1" w:styleId="dotpoint2">
    <w:name w:val="dot point2"/>
    <w:basedOn w:val="Normal"/>
    <w:pPr>
      <w:widowControl w:val="0"/>
      <w:numPr>
        <w:numId w:val="9"/>
      </w:numPr>
    </w:pPr>
  </w:style>
  <w:style w:type="paragraph" w:customStyle="1" w:styleId="recomendation">
    <w:name w:val="recomendation"/>
    <w:basedOn w:val="BodyText"/>
    <w:pPr>
      <w:tabs>
        <w:tab w:val="left" w:pos="567"/>
        <w:tab w:val="left" w:pos="1134"/>
      </w:tabs>
      <w:spacing w:after="180"/>
      <w:ind w:left="567" w:hanging="567"/>
    </w:pPr>
    <w:rPr>
      <w:rFonts w:ascii="Arial" w:hAnsi="Arial"/>
    </w:rPr>
  </w:style>
  <w:style w:type="paragraph" w:customStyle="1" w:styleId="Subrec">
    <w:name w:val="Subrec"/>
    <w:basedOn w:val="BodyText"/>
    <w:pPr>
      <w:numPr>
        <w:numId w:val="6"/>
      </w:numPr>
      <w:spacing w:after="180"/>
    </w:pPr>
    <w:rPr>
      <w:rFonts w:ascii="Arial" w:hAnsi="Arial"/>
    </w:rPr>
  </w:style>
  <w:style w:type="paragraph" w:customStyle="1" w:styleId="Dotpointtwo">
    <w:name w:val="Dot point two"/>
    <w:basedOn w:val="dotpoint"/>
    <w:next w:val="BlockText"/>
    <w:pPr>
      <w:widowControl w:val="0"/>
      <w:numPr>
        <w:numId w:val="7"/>
      </w:numPr>
      <w:spacing w:after="240"/>
    </w:pPr>
  </w:style>
  <w:style w:type="paragraph" w:styleId="BlockText">
    <w:name w:val="Block Text"/>
    <w:basedOn w:val="Normal"/>
    <w:pPr>
      <w:spacing w:after="120"/>
      <w:ind w:left="1440" w:right="1440"/>
    </w:pPr>
    <w:rPr>
      <w:lang w:val="en-NZ"/>
    </w:rPr>
  </w:style>
  <w:style w:type="paragraph" w:customStyle="1" w:styleId="Tabledotpoint">
    <w:name w:val="Table dot point"/>
    <w:basedOn w:val="Normal"/>
    <w:pPr>
      <w:numPr>
        <w:numId w:val="8"/>
      </w:numPr>
      <w:spacing w:after="240"/>
    </w:pPr>
    <w:rPr>
      <w:sz w:val="20"/>
      <w:lang w:val="en-NZ"/>
    </w:rPr>
  </w:style>
  <w:style w:type="paragraph" w:customStyle="1" w:styleId="TRFooter">
    <w:name w:val="_TRFooter"/>
    <w:basedOn w:val="TRNormal"/>
    <w:pPr>
      <w:numPr>
        <w:numId w:val="0"/>
      </w:numPr>
      <w:tabs>
        <w:tab w:val="right" w:pos="9071"/>
      </w:tabs>
      <w:spacing w:after="0" w:line="240" w:lineRule="atLeast"/>
      <w:jc w:val="left"/>
    </w:pPr>
    <w:rPr>
      <w:sz w:val="16"/>
    </w:rPr>
  </w:style>
  <w:style w:type="paragraph" w:customStyle="1" w:styleId="TRHeader">
    <w:name w:val="_TRHeader"/>
    <w:basedOn w:val="TRNormal"/>
    <w:pPr>
      <w:numPr>
        <w:numId w:val="0"/>
      </w:numPr>
      <w:spacing w:after="0"/>
      <w:jc w:val="left"/>
    </w:pPr>
    <w:rPr>
      <w:b/>
      <w:sz w:val="16"/>
    </w:rPr>
  </w:style>
  <w:style w:type="paragraph" w:customStyle="1" w:styleId="TRTitle">
    <w:name w:val="_TRTitle"/>
    <w:basedOn w:val="TRNormal"/>
    <w:next w:val="TRNormal"/>
    <w:pPr>
      <w:numPr>
        <w:numId w:val="0"/>
      </w:numPr>
      <w:pBdr>
        <w:bottom w:val="single" w:sz="8" w:space="1" w:color="auto"/>
      </w:pBdr>
      <w:spacing w:before="360" w:after="120"/>
      <w:ind w:left="2552" w:hanging="2552"/>
      <w:jc w:val="left"/>
    </w:pPr>
    <w:rPr>
      <w:b/>
      <w:sz w:val="32"/>
    </w:rPr>
  </w:style>
  <w:style w:type="paragraph" w:customStyle="1" w:styleId="TRNormalIndent">
    <w:name w:val="_TRNormal Indent"/>
    <w:basedOn w:val="TRNormal"/>
    <w:pPr>
      <w:numPr>
        <w:numId w:val="0"/>
      </w:numPr>
      <w:spacing w:after="0"/>
      <w:jc w:val="left"/>
    </w:pPr>
  </w:style>
  <w:style w:type="paragraph" w:customStyle="1" w:styleId="TRListBullet">
    <w:name w:val="_TRList Bullet"/>
    <w:basedOn w:val="TRNormal"/>
    <w:link w:val="TRListBulletChar"/>
    <w:pPr>
      <w:numPr>
        <w:numId w:val="0"/>
      </w:numPr>
      <w:spacing w:after="200"/>
      <w:ind w:left="539" w:hanging="539"/>
    </w:pPr>
  </w:style>
  <w:style w:type="paragraph" w:customStyle="1" w:styleId="Chapter16">
    <w:name w:val="Chapter16"/>
    <w:pPr>
      <w:tabs>
        <w:tab w:val="left" w:pos="709"/>
      </w:tabs>
      <w:ind w:left="709" w:hanging="709"/>
      <w:jc w:val="both"/>
    </w:pPr>
    <w:rPr>
      <w:sz w:val="24"/>
      <w:lang w:eastAsia="en-AU"/>
    </w:rPr>
  </w:style>
  <w:style w:type="paragraph" w:customStyle="1" w:styleId="Chapter19">
    <w:name w:val="Chapter19"/>
    <w:pPr>
      <w:tabs>
        <w:tab w:val="num" w:pos="720"/>
      </w:tabs>
      <w:ind w:left="709" w:hanging="709"/>
      <w:jc w:val="both"/>
    </w:pPr>
    <w:rPr>
      <w:sz w:val="24"/>
      <w:lang w:eastAsia="en-AU"/>
    </w:rPr>
  </w:style>
  <w:style w:type="paragraph" w:customStyle="1" w:styleId="Chapter110">
    <w:name w:val="Chapter11"/>
    <w:pPr>
      <w:tabs>
        <w:tab w:val="left" w:pos="709"/>
      </w:tabs>
      <w:ind w:left="709" w:hanging="709"/>
      <w:jc w:val="both"/>
    </w:pPr>
    <w:rPr>
      <w:sz w:val="24"/>
      <w:lang w:eastAsia="en-AU"/>
    </w:rPr>
  </w:style>
  <w:style w:type="paragraph" w:customStyle="1" w:styleId="Chapter13">
    <w:name w:val="Chapter13"/>
    <w:pPr>
      <w:tabs>
        <w:tab w:val="left" w:pos="709"/>
      </w:tabs>
      <w:ind w:left="709" w:hanging="709"/>
      <w:jc w:val="both"/>
    </w:pPr>
    <w:rPr>
      <w:sz w:val="24"/>
      <w:lang w:eastAsia="en-AU"/>
    </w:rPr>
  </w:style>
  <w:style w:type="paragraph" w:customStyle="1" w:styleId="dotpointindent">
    <w:name w:val="dot point indent"/>
    <w:pPr>
      <w:tabs>
        <w:tab w:val="num" w:pos="1134"/>
      </w:tabs>
      <w:spacing w:after="140"/>
      <w:ind w:left="1134" w:hanging="567"/>
    </w:pPr>
    <w:rPr>
      <w:noProof/>
      <w:sz w:val="24"/>
      <w:lang w:val="en-AU" w:eastAsia="en-AU"/>
    </w:rPr>
  </w:style>
  <w:style w:type="paragraph" w:customStyle="1" w:styleId="TRFootnoteText">
    <w:name w:val="_TRFootnote Text"/>
    <w:basedOn w:val="Normal"/>
    <w:pPr>
      <w:spacing w:line="300" w:lineRule="atLeast"/>
    </w:pPr>
    <w:rPr>
      <w:sz w:val="16"/>
      <w:lang w:val="en-NZ"/>
    </w:rPr>
  </w:style>
  <w:style w:type="paragraph" w:customStyle="1" w:styleId="TRBodyText">
    <w:name w:val="_TRBody Text"/>
    <w:pPr>
      <w:spacing w:line="300" w:lineRule="atLeast"/>
      <w:jc w:val="both"/>
    </w:pPr>
    <w:rPr>
      <w:sz w:val="24"/>
      <w:lang w:eastAsia="en-AU"/>
    </w:rPr>
  </w:style>
  <w:style w:type="paragraph" w:customStyle="1" w:styleId="IndentedQuotedotpoint">
    <w:name w:val="Indented Quote dot point"/>
    <w:basedOn w:val="Normal"/>
    <w:pPr>
      <w:numPr>
        <w:numId w:val="18"/>
      </w:numPr>
      <w:spacing w:after="120"/>
      <w:ind w:right="749"/>
    </w:pPr>
    <w:rPr>
      <w:sz w:val="20"/>
      <w:lang w:val="en-NZ"/>
    </w:rPr>
  </w:style>
  <w:style w:type="paragraph" w:customStyle="1" w:styleId="Indentedquotenumbered">
    <w:name w:val="Indented quote numbered"/>
    <w:basedOn w:val="Normal"/>
    <w:autoRedefine/>
    <w:pPr>
      <w:numPr>
        <w:numId w:val="19"/>
      </w:numPr>
      <w:tabs>
        <w:tab w:val="left" w:pos="990"/>
        <w:tab w:val="left" w:pos="1350"/>
      </w:tabs>
      <w:spacing w:after="240"/>
      <w:ind w:right="749"/>
    </w:pPr>
    <w:rPr>
      <w:sz w:val="20"/>
      <w:lang w:val="en-NZ"/>
    </w:rPr>
  </w:style>
  <w:style w:type="paragraph" w:customStyle="1" w:styleId="quote-legislation-definitions-paragrapha">
    <w:name w:val="quote - legislation - definitions - paragraph(a)"/>
    <w:basedOn w:val="Normal"/>
    <w:autoRedefine/>
    <w:pPr>
      <w:tabs>
        <w:tab w:val="num" w:pos="360"/>
        <w:tab w:val="left" w:pos="2268"/>
      </w:tabs>
      <w:ind w:left="360" w:right="1785" w:hanging="360"/>
    </w:pPr>
    <w:rPr>
      <w:sz w:val="20"/>
      <w:lang w:val="en-US"/>
    </w:rPr>
  </w:style>
  <w:style w:type="paragraph" w:customStyle="1" w:styleId="quote-legislation-definitions-subparagraphi">
    <w:name w:val="quote - legislation - definitions - subparagraph(i)"/>
    <w:basedOn w:val="Normal"/>
    <w:autoRedefine/>
    <w:pPr>
      <w:tabs>
        <w:tab w:val="num" w:pos="720"/>
        <w:tab w:val="left" w:pos="3261"/>
      </w:tabs>
      <w:ind w:left="720" w:right="1785" w:hanging="720"/>
    </w:pPr>
    <w:rPr>
      <w:sz w:val="20"/>
      <w:lang w:val="en-US"/>
    </w:rPr>
  </w:style>
  <w:style w:type="paragraph" w:customStyle="1" w:styleId="quote-numbered">
    <w:name w:val="quote - numbered"/>
    <w:basedOn w:val="Normal"/>
    <w:autoRedefine/>
    <w:pPr>
      <w:tabs>
        <w:tab w:val="num" w:pos="360"/>
      </w:tabs>
      <w:ind w:left="360" w:hanging="360"/>
    </w:pPr>
    <w:rPr>
      <w:sz w:val="20"/>
      <w:lang w:val="en-US"/>
    </w:rPr>
  </w:style>
  <w:style w:type="paragraph" w:customStyle="1" w:styleId="quote-bullet">
    <w:name w:val="quote - bullet"/>
    <w:basedOn w:val="Normal"/>
    <w:pPr>
      <w:tabs>
        <w:tab w:val="num" w:pos="360"/>
      </w:tabs>
      <w:spacing w:after="120"/>
      <w:ind w:left="360" w:right="1133" w:hanging="360"/>
    </w:pPr>
    <w:rPr>
      <w:sz w:val="20"/>
      <w:lang w:eastAsia="en-US"/>
    </w:rPr>
  </w:style>
  <w:style w:type="paragraph" w:customStyle="1" w:styleId="Bullet">
    <w:name w:val="Bullet"/>
    <w:basedOn w:val="Normal"/>
    <w:pPr>
      <w:tabs>
        <w:tab w:val="num" w:pos="567"/>
      </w:tabs>
      <w:spacing w:after="140"/>
      <w:ind w:left="567" w:hanging="567"/>
    </w:pPr>
    <w:rPr>
      <w:lang w:val="en-NZ"/>
    </w:rPr>
  </w:style>
  <w:style w:type="paragraph" w:customStyle="1" w:styleId="IndentQuote">
    <w:name w:val="IndentQuote"/>
    <w:basedOn w:val="Normal"/>
    <w:pPr>
      <w:ind w:left="567" w:right="657"/>
    </w:pPr>
    <w:rPr>
      <w:sz w:val="22"/>
    </w:rPr>
  </w:style>
  <w:style w:type="paragraph" w:customStyle="1" w:styleId="sectionheading">
    <w:name w:val="section heading"/>
    <w:basedOn w:val="Normal"/>
    <w:autoRedefine/>
    <w:pPr>
      <w:jc w:val="left"/>
    </w:pPr>
    <w:rPr>
      <w:rFonts w:ascii="Arial" w:hAnsi="Arial"/>
      <w:b/>
    </w:rPr>
  </w:style>
  <w:style w:type="paragraph" w:customStyle="1" w:styleId="Chapter3">
    <w:name w:val="Chapter 3"/>
    <w:basedOn w:val="Normal"/>
    <w:pPr>
      <w:numPr>
        <w:numId w:val="25"/>
      </w:numPr>
      <w:spacing w:before="120" w:after="120"/>
    </w:pPr>
    <w:rPr>
      <w:snapToGrid w:val="0"/>
      <w:lang w:val="en-AU" w:eastAsia="en-US"/>
    </w:rPr>
  </w:style>
  <w:style w:type="paragraph" w:customStyle="1" w:styleId="Chapter4">
    <w:name w:val="Chapter 4"/>
    <w:basedOn w:val="Chapter3"/>
    <w:pPr>
      <w:numPr>
        <w:numId w:val="31"/>
      </w:numPr>
      <w:tabs>
        <w:tab w:val="clear" w:pos="737"/>
        <w:tab w:val="num" w:pos="360"/>
      </w:tabs>
      <w:ind w:left="360" w:hanging="360"/>
    </w:pPr>
  </w:style>
  <w:style w:type="paragraph" w:customStyle="1" w:styleId="Chapter5">
    <w:name w:val="Chapter 5"/>
    <w:basedOn w:val="Chapter4"/>
    <w:pPr>
      <w:numPr>
        <w:numId w:val="26"/>
      </w:numPr>
      <w:tabs>
        <w:tab w:val="clear" w:pos="737"/>
        <w:tab w:val="num" w:pos="360"/>
      </w:tabs>
      <w:ind w:left="360" w:hanging="360"/>
    </w:pPr>
  </w:style>
  <w:style w:type="paragraph" w:customStyle="1" w:styleId="Chapter6">
    <w:name w:val="Chapter 6"/>
    <w:basedOn w:val="Chapter5"/>
    <w:pPr>
      <w:numPr>
        <w:numId w:val="27"/>
      </w:numPr>
      <w:tabs>
        <w:tab w:val="clear" w:pos="737"/>
        <w:tab w:val="num" w:pos="360"/>
      </w:tabs>
      <w:ind w:left="360" w:hanging="360"/>
    </w:pPr>
  </w:style>
  <w:style w:type="paragraph" w:customStyle="1" w:styleId="Chapter7">
    <w:name w:val="Chapter 7"/>
    <w:basedOn w:val="Chapter6"/>
    <w:pPr>
      <w:numPr>
        <w:numId w:val="28"/>
      </w:numPr>
      <w:tabs>
        <w:tab w:val="clear" w:pos="737"/>
        <w:tab w:val="num" w:pos="360"/>
      </w:tabs>
      <w:ind w:left="360" w:hanging="360"/>
    </w:pPr>
  </w:style>
  <w:style w:type="paragraph" w:customStyle="1" w:styleId="Chapter9">
    <w:name w:val="Chapter 9"/>
    <w:basedOn w:val="Chapter7"/>
    <w:pPr>
      <w:numPr>
        <w:numId w:val="33"/>
      </w:numPr>
      <w:tabs>
        <w:tab w:val="clear" w:pos="737"/>
        <w:tab w:val="num" w:pos="360"/>
      </w:tabs>
      <w:ind w:left="360" w:hanging="360"/>
    </w:pPr>
  </w:style>
  <w:style w:type="paragraph" w:customStyle="1" w:styleId="Chapter10">
    <w:name w:val="Chapter 10"/>
    <w:basedOn w:val="Normal"/>
    <w:pPr>
      <w:numPr>
        <w:numId w:val="29"/>
      </w:numPr>
      <w:tabs>
        <w:tab w:val="left" w:pos="567"/>
      </w:tabs>
      <w:jc w:val="left"/>
    </w:pPr>
    <w:rPr>
      <w:lang w:val="en-NZ"/>
    </w:rPr>
  </w:style>
  <w:style w:type="paragraph" w:customStyle="1" w:styleId="Chapter8">
    <w:name w:val="Chapter 8"/>
    <w:basedOn w:val="Chapter9"/>
    <w:rPr>
      <w:lang w:val="en-NZ"/>
    </w:rPr>
  </w:style>
  <w:style w:type="paragraph" w:customStyle="1" w:styleId="Chapter1">
    <w:name w:val="Chapter 1"/>
    <w:basedOn w:val="Normal"/>
    <w:pPr>
      <w:numPr>
        <w:numId w:val="30"/>
      </w:numPr>
      <w:spacing w:before="120" w:after="120"/>
    </w:pPr>
    <w:rPr>
      <w:lang w:val="en-NZ"/>
    </w:rPr>
  </w:style>
  <w:style w:type="paragraph" w:customStyle="1" w:styleId="Chapter11">
    <w:name w:val="Chapter 11"/>
    <w:basedOn w:val="Chapter10"/>
    <w:pPr>
      <w:numPr>
        <w:numId w:val="32"/>
      </w:numPr>
      <w:tabs>
        <w:tab w:val="clear" w:pos="567"/>
        <w:tab w:val="clear" w:pos="737"/>
        <w:tab w:val="num" w:pos="360"/>
      </w:tabs>
      <w:spacing w:before="120" w:after="120"/>
      <w:ind w:left="360" w:hanging="360"/>
      <w:jc w:val="both"/>
    </w:pPr>
  </w:style>
  <w:style w:type="paragraph" w:customStyle="1" w:styleId="Indentbullet">
    <w:name w:val="Indent bullet"/>
    <w:basedOn w:val="BodyText"/>
    <w:pPr>
      <w:numPr>
        <w:numId w:val="34"/>
      </w:numPr>
      <w:spacing w:after="140"/>
    </w:pPr>
  </w:style>
  <w:style w:type="paragraph" w:customStyle="1" w:styleId="CharCharCharCharChar1">
    <w:name w:val="Char Char Char Char Char1"/>
    <w:basedOn w:val="Normal"/>
    <w:rsid w:val="00A72F11"/>
    <w:pPr>
      <w:spacing w:after="160" w:line="240" w:lineRule="exact"/>
      <w:jc w:val="left"/>
    </w:pPr>
    <w:rPr>
      <w:rFonts w:ascii="Verdana" w:hAnsi="Verdana"/>
      <w:sz w:val="20"/>
      <w:lang w:val="en-US" w:eastAsia="en-US"/>
    </w:rPr>
  </w:style>
  <w:style w:type="paragraph" w:customStyle="1" w:styleId="TRHeading1">
    <w:name w:val="_TRHeading 1"/>
    <w:next w:val="Normal"/>
    <w:rsid w:val="00A72F11"/>
    <w:pPr>
      <w:keepNext/>
      <w:widowControl w:val="0"/>
      <w:pBdr>
        <w:bottom w:val="single" w:sz="4" w:space="1" w:color="auto"/>
      </w:pBdr>
      <w:spacing w:before="720" w:after="360"/>
    </w:pPr>
    <w:rPr>
      <w:b/>
      <w:sz w:val="28"/>
      <w:lang w:eastAsia="en-AU"/>
    </w:rPr>
  </w:style>
  <w:style w:type="paragraph" w:styleId="ListBullet">
    <w:name w:val="List Bullet"/>
    <w:basedOn w:val="Normal"/>
    <w:rsid w:val="00043834"/>
    <w:pPr>
      <w:numPr>
        <w:numId w:val="35"/>
      </w:numPr>
    </w:pPr>
    <w:rPr>
      <w:szCs w:val="24"/>
      <w:lang w:val="en-NZ" w:eastAsia="en-NZ"/>
    </w:rPr>
  </w:style>
  <w:style w:type="paragraph" w:customStyle="1" w:styleId="Bullets">
    <w:name w:val="Bullets"/>
    <w:basedOn w:val="Normal"/>
    <w:rsid w:val="00B44B2E"/>
    <w:pPr>
      <w:numPr>
        <w:numId w:val="36"/>
      </w:numPr>
      <w:jc w:val="left"/>
    </w:pPr>
    <w:rPr>
      <w:szCs w:val="24"/>
      <w:lang w:val="en-AU"/>
    </w:rPr>
  </w:style>
  <w:style w:type="character" w:customStyle="1" w:styleId="Heading1Char1">
    <w:name w:val="Heading 1 Char1"/>
    <w:aliases w:val="Report Title Char,Heading 1 Char Char,Heading 1 Char2 Char1 Char,Heading 1 Char1 Char Char Char,Heading 1 Char Char Char Char Char,Heading 1 Char1 Char Char Char Char1 Char,Heading 1 Char Char Char Char Char Char1 Char"/>
    <w:basedOn w:val="DefaultParagraphFont"/>
    <w:link w:val="Heading1"/>
    <w:rsid w:val="003B53F6"/>
    <w:rPr>
      <w:b/>
      <w:caps/>
      <w:sz w:val="26"/>
      <w:lang w:val="en-NZ" w:eastAsia="en-AU" w:bidi="ar-SA"/>
    </w:rPr>
  </w:style>
  <w:style w:type="character" w:customStyle="1" w:styleId="BodyTextChar">
    <w:name w:val="Body Text Char"/>
    <w:basedOn w:val="DefaultParagraphFont"/>
    <w:link w:val="BodyText"/>
    <w:rsid w:val="00C662E9"/>
    <w:rPr>
      <w:sz w:val="24"/>
      <w:lang w:val="en-GB" w:eastAsia="en-AU" w:bidi="ar-SA"/>
    </w:rPr>
  </w:style>
  <w:style w:type="character" w:customStyle="1" w:styleId="Heading5Char1">
    <w:name w:val="Heading 5 Char1"/>
    <w:aliases w:val="Heading 5 Char Char,Heading 5 Char1 Char Char,Heading 5 Char Char Char Char"/>
    <w:basedOn w:val="DefaultParagraphFont"/>
    <w:link w:val="Heading5"/>
    <w:rsid w:val="00210DE8"/>
    <w:rPr>
      <w:b/>
      <w:sz w:val="26"/>
      <w:lang w:val="en-GB" w:eastAsia="en-AU" w:bidi="ar-SA"/>
    </w:rPr>
  </w:style>
  <w:style w:type="paragraph" w:styleId="BalloonText">
    <w:name w:val="Balloon Text"/>
    <w:basedOn w:val="Normal"/>
    <w:semiHidden/>
    <w:rsid w:val="00E36958"/>
    <w:rPr>
      <w:rFonts w:ascii="Tahoma" w:hAnsi="Tahoma" w:cs="Tahoma"/>
      <w:sz w:val="16"/>
      <w:szCs w:val="16"/>
    </w:rPr>
  </w:style>
  <w:style w:type="character" w:customStyle="1" w:styleId="Heading2Char">
    <w:name w:val="Heading 2 Char"/>
    <w:aliases w:val="Heading 2 Char1 Char,Heading 2 Char Char Char"/>
    <w:basedOn w:val="DefaultParagraphFont"/>
    <w:link w:val="Heading2"/>
    <w:rsid w:val="007C2865"/>
    <w:rPr>
      <w:b/>
      <w:sz w:val="24"/>
      <w:lang w:val="en-GB" w:eastAsia="en-AU" w:bidi="ar-SA"/>
    </w:rPr>
  </w:style>
  <w:style w:type="table" w:styleId="TableGrid">
    <w:name w:val="Table Grid"/>
    <w:basedOn w:val="TableNormal"/>
    <w:rsid w:val="007C2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ListBulletChar">
    <w:name w:val="_TRList Bullet Char"/>
    <w:basedOn w:val="DefaultParagraphFont"/>
    <w:link w:val="TRListBullet"/>
    <w:rsid w:val="0052585F"/>
    <w:rPr>
      <w:sz w:val="24"/>
      <w:lang w:eastAsia="en-AU"/>
    </w:rPr>
  </w:style>
  <w:style w:type="character" w:styleId="CommentReference">
    <w:name w:val="annotation reference"/>
    <w:basedOn w:val="DefaultParagraphFont"/>
    <w:semiHidden/>
    <w:rsid w:val="00B51C29"/>
    <w:rPr>
      <w:sz w:val="16"/>
      <w:szCs w:val="16"/>
    </w:rPr>
  </w:style>
  <w:style w:type="paragraph" w:styleId="CommentText">
    <w:name w:val="annotation text"/>
    <w:basedOn w:val="Normal"/>
    <w:semiHidden/>
    <w:rsid w:val="00B51C29"/>
    <w:rPr>
      <w:sz w:val="20"/>
    </w:rPr>
  </w:style>
  <w:style w:type="paragraph" w:styleId="NormalWeb">
    <w:name w:val="Normal (Web)"/>
    <w:basedOn w:val="Normal"/>
    <w:uiPriority w:val="99"/>
    <w:rsid w:val="00CD6CCB"/>
    <w:pPr>
      <w:spacing w:before="100" w:after="100"/>
    </w:pPr>
    <w:rPr>
      <w:rFonts w:ascii="Verdana" w:hAnsi="Verdana"/>
      <w:lang w:val="en-AU"/>
    </w:rPr>
  </w:style>
  <w:style w:type="paragraph" w:styleId="ListParagraph">
    <w:name w:val="List Paragraph"/>
    <w:basedOn w:val="Normal"/>
    <w:uiPriority w:val="34"/>
    <w:qFormat/>
    <w:rsid w:val="00E56901"/>
    <w:pPr>
      <w:ind w:left="720"/>
      <w:contextualSpacing/>
    </w:pPr>
  </w:style>
  <w:style w:type="character" w:customStyle="1" w:styleId="FootnoteTextChar">
    <w:name w:val="Footnote Text Char"/>
    <w:basedOn w:val="DefaultParagraphFont"/>
    <w:link w:val="FootnoteText"/>
    <w:uiPriority w:val="99"/>
    <w:semiHidden/>
    <w:rsid w:val="009F0F23"/>
    <w:rPr>
      <w:lang w:val="en-GB" w:eastAsia="en-AU"/>
    </w:rPr>
  </w:style>
  <w:style w:type="character" w:styleId="Hyperlink">
    <w:name w:val="Hyperlink"/>
    <w:basedOn w:val="DefaultParagraphFont"/>
    <w:uiPriority w:val="99"/>
    <w:unhideWhenUsed/>
    <w:rsid w:val="00056D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41808">
      <w:bodyDiv w:val="1"/>
      <w:marLeft w:val="0"/>
      <w:marRight w:val="0"/>
      <w:marTop w:val="0"/>
      <w:marBottom w:val="0"/>
      <w:divBdr>
        <w:top w:val="none" w:sz="0" w:space="0" w:color="auto"/>
        <w:left w:val="none" w:sz="0" w:space="0" w:color="auto"/>
        <w:bottom w:val="none" w:sz="0" w:space="0" w:color="auto"/>
        <w:right w:val="none" w:sz="0" w:space="0" w:color="auto"/>
      </w:divBdr>
    </w:div>
    <w:div w:id="294719892">
      <w:bodyDiv w:val="1"/>
      <w:marLeft w:val="0"/>
      <w:marRight w:val="0"/>
      <w:marTop w:val="0"/>
      <w:marBottom w:val="0"/>
      <w:divBdr>
        <w:top w:val="none" w:sz="0" w:space="0" w:color="auto"/>
        <w:left w:val="none" w:sz="0" w:space="0" w:color="auto"/>
        <w:bottom w:val="none" w:sz="0" w:space="0" w:color="auto"/>
        <w:right w:val="none" w:sz="0" w:space="0" w:color="auto"/>
      </w:divBdr>
    </w:div>
    <w:div w:id="380058146">
      <w:bodyDiv w:val="1"/>
      <w:marLeft w:val="0"/>
      <w:marRight w:val="0"/>
      <w:marTop w:val="0"/>
      <w:marBottom w:val="0"/>
      <w:divBdr>
        <w:top w:val="none" w:sz="0" w:space="0" w:color="auto"/>
        <w:left w:val="none" w:sz="0" w:space="0" w:color="auto"/>
        <w:bottom w:val="none" w:sz="0" w:space="0" w:color="auto"/>
        <w:right w:val="none" w:sz="0" w:space="0" w:color="auto"/>
      </w:divBdr>
    </w:div>
    <w:div w:id="487745767">
      <w:bodyDiv w:val="1"/>
      <w:marLeft w:val="48"/>
      <w:marRight w:val="48"/>
      <w:marTop w:val="48"/>
      <w:marBottom w:val="12"/>
      <w:divBdr>
        <w:top w:val="none" w:sz="0" w:space="0" w:color="auto"/>
        <w:left w:val="none" w:sz="0" w:space="0" w:color="auto"/>
        <w:bottom w:val="none" w:sz="0" w:space="0" w:color="auto"/>
        <w:right w:val="none" w:sz="0" w:space="0" w:color="auto"/>
      </w:divBdr>
      <w:divsChild>
        <w:div w:id="309791248">
          <w:marLeft w:val="0"/>
          <w:marRight w:val="0"/>
          <w:marTop w:val="0"/>
          <w:marBottom w:val="0"/>
          <w:divBdr>
            <w:top w:val="none" w:sz="0" w:space="0" w:color="auto"/>
            <w:left w:val="none" w:sz="0" w:space="0" w:color="auto"/>
            <w:bottom w:val="single" w:sz="4" w:space="1" w:color="auto"/>
            <w:right w:val="none" w:sz="0" w:space="0" w:color="auto"/>
          </w:divBdr>
        </w:div>
      </w:divsChild>
    </w:div>
    <w:div w:id="889343877">
      <w:bodyDiv w:val="1"/>
      <w:marLeft w:val="0"/>
      <w:marRight w:val="0"/>
      <w:marTop w:val="0"/>
      <w:marBottom w:val="0"/>
      <w:divBdr>
        <w:top w:val="none" w:sz="0" w:space="0" w:color="auto"/>
        <w:left w:val="none" w:sz="0" w:space="0" w:color="auto"/>
        <w:bottom w:val="none" w:sz="0" w:space="0" w:color="auto"/>
        <w:right w:val="none" w:sz="0" w:space="0" w:color="auto"/>
      </w:divBdr>
      <w:divsChild>
        <w:div w:id="552039979">
          <w:marLeft w:val="0"/>
          <w:marRight w:val="0"/>
          <w:marTop w:val="120"/>
          <w:marBottom w:val="240"/>
          <w:divBdr>
            <w:top w:val="none" w:sz="0" w:space="0" w:color="auto"/>
            <w:left w:val="none" w:sz="0" w:space="0" w:color="auto"/>
            <w:bottom w:val="none" w:sz="0" w:space="0" w:color="auto"/>
            <w:right w:val="none" w:sz="0" w:space="0" w:color="auto"/>
          </w:divBdr>
        </w:div>
        <w:div w:id="347099027">
          <w:marLeft w:val="0"/>
          <w:marRight w:val="0"/>
          <w:marTop w:val="120"/>
          <w:marBottom w:val="120"/>
          <w:divBdr>
            <w:top w:val="none" w:sz="0" w:space="0" w:color="auto"/>
            <w:left w:val="none" w:sz="0" w:space="0" w:color="auto"/>
            <w:bottom w:val="none" w:sz="0" w:space="0" w:color="auto"/>
            <w:right w:val="none" w:sz="0" w:space="0" w:color="auto"/>
          </w:divBdr>
        </w:div>
        <w:div w:id="1779324530">
          <w:marLeft w:val="0"/>
          <w:marRight w:val="0"/>
          <w:marTop w:val="120"/>
          <w:marBottom w:val="120"/>
          <w:divBdr>
            <w:top w:val="none" w:sz="0" w:space="0" w:color="auto"/>
            <w:left w:val="none" w:sz="0" w:space="0" w:color="auto"/>
            <w:bottom w:val="none" w:sz="0" w:space="0" w:color="auto"/>
            <w:right w:val="none" w:sz="0" w:space="0" w:color="auto"/>
          </w:divBdr>
        </w:div>
        <w:div w:id="676347720">
          <w:marLeft w:val="0"/>
          <w:marRight w:val="0"/>
          <w:marTop w:val="120"/>
          <w:marBottom w:val="120"/>
          <w:divBdr>
            <w:top w:val="none" w:sz="0" w:space="0" w:color="auto"/>
            <w:left w:val="none" w:sz="0" w:space="0" w:color="auto"/>
            <w:bottom w:val="none" w:sz="0" w:space="0" w:color="auto"/>
            <w:right w:val="none" w:sz="0" w:space="0" w:color="auto"/>
          </w:divBdr>
        </w:div>
      </w:divsChild>
    </w:div>
    <w:div w:id="934552573">
      <w:bodyDiv w:val="1"/>
      <w:marLeft w:val="48"/>
      <w:marRight w:val="48"/>
      <w:marTop w:val="48"/>
      <w:marBottom w:val="12"/>
      <w:divBdr>
        <w:top w:val="none" w:sz="0" w:space="0" w:color="auto"/>
        <w:left w:val="none" w:sz="0" w:space="0" w:color="auto"/>
        <w:bottom w:val="none" w:sz="0" w:space="0" w:color="auto"/>
        <w:right w:val="none" w:sz="0" w:space="0" w:color="auto"/>
      </w:divBdr>
      <w:divsChild>
        <w:div w:id="1389694848">
          <w:marLeft w:val="0"/>
          <w:marRight w:val="0"/>
          <w:marTop w:val="0"/>
          <w:marBottom w:val="0"/>
          <w:divBdr>
            <w:top w:val="none" w:sz="0" w:space="0" w:color="auto"/>
            <w:left w:val="none" w:sz="0" w:space="0" w:color="auto"/>
            <w:bottom w:val="none" w:sz="0" w:space="0" w:color="auto"/>
            <w:right w:val="none" w:sz="0" w:space="0" w:color="auto"/>
          </w:divBdr>
        </w:div>
      </w:divsChild>
    </w:div>
    <w:div w:id="962730247">
      <w:bodyDiv w:val="1"/>
      <w:marLeft w:val="0"/>
      <w:marRight w:val="0"/>
      <w:marTop w:val="0"/>
      <w:marBottom w:val="0"/>
      <w:divBdr>
        <w:top w:val="none" w:sz="0" w:space="0" w:color="auto"/>
        <w:left w:val="none" w:sz="0" w:space="0" w:color="auto"/>
        <w:bottom w:val="none" w:sz="0" w:space="0" w:color="auto"/>
        <w:right w:val="none" w:sz="0" w:space="0" w:color="auto"/>
      </w:divBdr>
    </w:div>
    <w:div w:id="1098018965">
      <w:bodyDiv w:val="1"/>
      <w:marLeft w:val="0"/>
      <w:marRight w:val="0"/>
      <w:marTop w:val="0"/>
      <w:marBottom w:val="0"/>
      <w:divBdr>
        <w:top w:val="none" w:sz="0" w:space="0" w:color="auto"/>
        <w:left w:val="none" w:sz="0" w:space="0" w:color="auto"/>
        <w:bottom w:val="none" w:sz="0" w:space="0" w:color="auto"/>
        <w:right w:val="none" w:sz="0" w:space="0" w:color="auto"/>
      </w:divBdr>
    </w:div>
    <w:div w:id="1234314667">
      <w:bodyDiv w:val="1"/>
      <w:marLeft w:val="0"/>
      <w:marRight w:val="0"/>
      <w:marTop w:val="0"/>
      <w:marBottom w:val="0"/>
      <w:divBdr>
        <w:top w:val="none" w:sz="0" w:space="0" w:color="auto"/>
        <w:left w:val="none" w:sz="0" w:space="0" w:color="auto"/>
        <w:bottom w:val="none" w:sz="0" w:space="0" w:color="auto"/>
        <w:right w:val="none" w:sz="0" w:space="0" w:color="auto"/>
      </w:divBdr>
    </w:div>
    <w:div w:id="1951432272">
      <w:bodyDiv w:val="1"/>
      <w:marLeft w:val="48"/>
      <w:marRight w:val="48"/>
      <w:marTop w:val="48"/>
      <w:marBottom w:val="12"/>
      <w:divBdr>
        <w:top w:val="none" w:sz="0" w:space="0" w:color="auto"/>
        <w:left w:val="none" w:sz="0" w:space="0" w:color="auto"/>
        <w:bottom w:val="none" w:sz="0" w:space="0" w:color="auto"/>
        <w:right w:val="none" w:sz="0" w:space="0" w:color="auto"/>
      </w:divBdr>
      <w:divsChild>
        <w:div w:id="206798189">
          <w:marLeft w:val="0"/>
          <w:marRight w:val="0"/>
          <w:marTop w:val="0"/>
          <w:marBottom w:val="0"/>
          <w:divBdr>
            <w:top w:val="none" w:sz="0" w:space="0" w:color="auto"/>
            <w:left w:val="none" w:sz="0" w:space="0" w:color="auto"/>
            <w:bottom w:val="none" w:sz="0" w:space="0" w:color="auto"/>
            <w:right w:val="none" w:sz="0" w:space="0" w:color="auto"/>
          </w:divBdr>
        </w:div>
        <w:div w:id="1246912085">
          <w:marLeft w:val="0"/>
          <w:marRight w:val="0"/>
          <w:marTop w:val="0"/>
          <w:marBottom w:val="0"/>
          <w:divBdr>
            <w:top w:val="none" w:sz="0" w:space="0" w:color="auto"/>
            <w:left w:val="none" w:sz="0" w:space="0" w:color="auto"/>
            <w:bottom w:val="none" w:sz="0" w:space="0" w:color="auto"/>
            <w:right w:val="none" w:sz="0" w:space="0" w:color="auto"/>
          </w:divBdr>
        </w:div>
        <w:div w:id="1379083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0.xml"/><Relationship Id="rId26" Type="http://schemas.openxmlformats.org/officeDocument/2006/relationships/footer" Target="footer18.xml"/><Relationship Id="rId3" Type="http://schemas.microsoft.com/office/2007/relationships/stylesWithEffects" Target="stylesWithEffect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styles" Target="styles.xml"/><Relationship Id="rId16" Type="http://schemas.openxmlformats.org/officeDocument/2006/relationships/hyperlink" Target="http://www.taxpolicy.ird.govt.nz" TargetMode="External"/><Relationship Id="rId20" Type="http://schemas.openxmlformats.org/officeDocument/2006/relationships/footer" Target="footer1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5.xml"/><Relationship Id="rId28" Type="http://schemas.openxmlformats.org/officeDocument/2006/relationships/footer" Target="footer20.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96</Pages>
  <Words>17902</Words>
  <Characters>97801</Characters>
  <Application>Microsoft Office Word</Application>
  <DocSecurity>0</DocSecurity>
  <Lines>3622</Lines>
  <Paragraphs>1502</Paragraphs>
  <ScaleCrop>false</ScaleCrop>
  <HeadingPairs>
    <vt:vector size="2" baseType="variant">
      <vt:variant>
        <vt:lpstr>Title</vt:lpstr>
      </vt:variant>
      <vt:variant>
        <vt:i4>1</vt:i4>
      </vt:variant>
    </vt:vector>
  </HeadingPairs>
  <TitlesOfParts>
    <vt:vector size="1" baseType="lpstr">
      <vt:lpstr>Taxation (Bright-line Test for Residential Land) Bill - Officials’ Report to the Finance and Expenditure Committee on Submissions on the Bill</vt:lpstr>
    </vt:vector>
  </TitlesOfParts>
  <Company>Inland Revenue</Company>
  <LinksUpToDate>false</LinksUpToDate>
  <CharactersWithSpaces>114201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(Bright-line Test for Residential Land) Bill - Officials’ Report to the Finance and Expenditure Committee on Submissions on the Bill</dc:title>
  <dc:creator>Policy and Strategy</dc:creator>
  <dc:description>October 2015</dc:description>
  <cp:lastModifiedBy>Wendy Watkin</cp:lastModifiedBy>
  <cp:revision>2</cp:revision>
  <dcterms:created xsi:type="dcterms:W3CDTF">2015-10-11T22:36:00Z</dcterms:created>
  <dcterms:modified xsi:type="dcterms:W3CDTF">2015-10-11T22:37:00Z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